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C25" w:rsidRDefault="00732C25">
      <w:pPr>
        <w:pStyle w:val="a3"/>
        <w:spacing w:before="57"/>
        <w:rPr>
          <w:rFonts w:ascii="Times New Roman"/>
          <w:b w:val="0"/>
        </w:rPr>
      </w:pPr>
    </w:p>
    <w:p w:rsidR="00732C25" w:rsidRDefault="00862D1C" w:rsidP="002E36B2">
      <w:pPr>
        <w:pStyle w:val="a3"/>
        <w:ind w:leftChars="100" w:left="220" w:firstLineChars="500" w:firstLine="1385"/>
      </w:pPr>
      <w:r>
        <w:rPr>
          <w:spacing w:val="-4"/>
        </w:rPr>
        <w:t>二種混合予防接種（ジフテリア・破傷風）</w:t>
      </w:r>
      <w:r>
        <w:rPr>
          <w:spacing w:val="-7"/>
        </w:rPr>
        <w:t>の説明</w:t>
      </w:r>
      <w:r w:rsidR="002E36B2">
        <w:rPr>
          <w:rFonts w:hint="eastAsia"/>
          <w:spacing w:val="-7"/>
        </w:rPr>
        <w:t xml:space="preserve">　</w:t>
      </w:r>
    </w:p>
    <w:p w:rsidR="00732C25" w:rsidRDefault="00862D1C" w:rsidP="00862D1C">
      <w:pPr>
        <w:spacing w:before="49"/>
        <w:ind w:left="1397"/>
        <w:rPr>
          <w:sz w:val="14"/>
        </w:rPr>
        <w:sectPr w:rsidR="00732C25">
          <w:type w:val="continuous"/>
          <w:pgSz w:w="11910" w:h="16840"/>
          <w:pgMar w:top="320" w:right="900" w:bottom="280" w:left="960" w:header="720" w:footer="720" w:gutter="0"/>
          <w:cols w:num="2" w:space="720" w:equalWidth="0">
            <w:col w:w="7892" w:space="40"/>
            <w:col w:w="2118"/>
          </w:cols>
        </w:sectPr>
      </w:pPr>
      <w:r>
        <w:br w:type="column"/>
      </w:r>
    </w:p>
    <w:p w:rsidR="00732C25" w:rsidRDefault="00732C25">
      <w:pPr>
        <w:rPr>
          <w:sz w:val="20"/>
        </w:rPr>
      </w:pPr>
    </w:p>
    <w:p w:rsidR="00732C25" w:rsidRDefault="00732C25">
      <w:pPr>
        <w:spacing w:before="18" w:after="1"/>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6"/>
        <w:gridCol w:w="7854"/>
      </w:tblGrid>
      <w:tr w:rsidR="00732C25">
        <w:trPr>
          <w:trHeight w:val="463"/>
        </w:trPr>
        <w:tc>
          <w:tcPr>
            <w:tcW w:w="1966" w:type="dxa"/>
          </w:tcPr>
          <w:p w:rsidR="00732C25" w:rsidRDefault="00862D1C">
            <w:pPr>
              <w:pStyle w:val="TableParagraph"/>
              <w:spacing w:before="88"/>
              <w:ind w:left="321"/>
            </w:pPr>
            <w:r>
              <w:rPr>
                <w:spacing w:val="-4"/>
              </w:rPr>
              <w:t>接種対象年齢</w:t>
            </w:r>
          </w:p>
        </w:tc>
        <w:tc>
          <w:tcPr>
            <w:tcW w:w="7854" w:type="dxa"/>
          </w:tcPr>
          <w:p w:rsidR="00732C25" w:rsidRDefault="00862D1C">
            <w:pPr>
              <w:pStyle w:val="TableParagraph"/>
              <w:spacing w:line="270" w:lineRule="exact"/>
              <w:rPr>
                <w:sz w:val="21"/>
              </w:rPr>
            </w:pPr>
            <w:r>
              <w:rPr>
                <w:spacing w:val="-2"/>
                <w:sz w:val="21"/>
              </w:rPr>
              <w:t>１１歳以上１３歳未満（13</w:t>
            </w:r>
            <w:r>
              <w:rPr>
                <w:spacing w:val="-4"/>
                <w:sz w:val="21"/>
              </w:rPr>
              <w:t xml:space="preserve"> 歳の誕生日の前日まで</w:t>
            </w:r>
            <w:r>
              <w:rPr>
                <w:spacing w:val="-10"/>
                <w:sz w:val="21"/>
              </w:rPr>
              <w:t>）</w:t>
            </w:r>
          </w:p>
        </w:tc>
      </w:tr>
      <w:tr w:rsidR="00732C25">
        <w:trPr>
          <w:trHeight w:val="362"/>
        </w:trPr>
        <w:tc>
          <w:tcPr>
            <w:tcW w:w="1966" w:type="dxa"/>
          </w:tcPr>
          <w:p w:rsidR="00732C25" w:rsidRDefault="00862D1C">
            <w:pPr>
              <w:pStyle w:val="TableParagraph"/>
              <w:spacing w:before="37"/>
            </w:pPr>
            <w:r>
              <w:rPr>
                <w:spacing w:val="-4"/>
              </w:rPr>
              <w:t>望ましい接種年齢</w:t>
            </w:r>
          </w:p>
        </w:tc>
        <w:tc>
          <w:tcPr>
            <w:tcW w:w="7854" w:type="dxa"/>
          </w:tcPr>
          <w:p w:rsidR="00732C25" w:rsidRDefault="00862D1C">
            <w:pPr>
              <w:pStyle w:val="TableParagraph"/>
              <w:spacing w:before="45"/>
              <w:rPr>
                <w:sz w:val="21"/>
              </w:rPr>
            </w:pPr>
            <w:r>
              <w:rPr>
                <w:spacing w:val="-3"/>
                <w:sz w:val="21"/>
              </w:rPr>
              <w:t>１１歳に達したときから１２歳に達するまでの期間</w:t>
            </w:r>
          </w:p>
        </w:tc>
      </w:tr>
      <w:tr w:rsidR="00732C25">
        <w:trPr>
          <w:trHeight w:val="359"/>
        </w:trPr>
        <w:tc>
          <w:tcPr>
            <w:tcW w:w="1966" w:type="dxa"/>
          </w:tcPr>
          <w:p w:rsidR="00732C25" w:rsidRDefault="00862D1C">
            <w:pPr>
              <w:pStyle w:val="TableParagraph"/>
              <w:spacing w:before="35"/>
            </w:pPr>
            <w:r>
              <w:rPr>
                <w:spacing w:val="-4"/>
              </w:rPr>
              <w:t>ワクチンの種類</w:t>
            </w:r>
          </w:p>
        </w:tc>
        <w:tc>
          <w:tcPr>
            <w:tcW w:w="7854" w:type="dxa"/>
          </w:tcPr>
          <w:p w:rsidR="00732C25" w:rsidRDefault="00862D1C">
            <w:pPr>
              <w:pStyle w:val="TableParagraph"/>
              <w:spacing w:before="42"/>
              <w:rPr>
                <w:sz w:val="21"/>
              </w:rPr>
            </w:pPr>
            <w:r>
              <w:rPr>
                <w:spacing w:val="-2"/>
                <w:sz w:val="21"/>
              </w:rPr>
              <w:t>不活化ワクチン（トキソイド</w:t>
            </w:r>
            <w:r>
              <w:rPr>
                <w:spacing w:val="-10"/>
                <w:sz w:val="21"/>
              </w:rPr>
              <w:t>）</w:t>
            </w:r>
          </w:p>
        </w:tc>
      </w:tr>
      <w:tr w:rsidR="00732C25" w:rsidTr="00CB6040">
        <w:trPr>
          <w:trHeight w:val="1463"/>
        </w:trPr>
        <w:tc>
          <w:tcPr>
            <w:tcW w:w="1966" w:type="dxa"/>
            <w:vMerge w:val="restart"/>
          </w:tcPr>
          <w:p w:rsidR="00732C25" w:rsidRDefault="00862D1C">
            <w:pPr>
              <w:pStyle w:val="TableParagraph"/>
              <w:spacing w:before="35"/>
            </w:pPr>
            <w:r>
              <w:rPr>
                <w:spacing w:val="-4"/>
              </w:rPr>
              <w:t>予防する病気</w:t>
            </w:r>
          </w:p>
        </w:tc>
        <w:tc>
          <w:tcPr>
            <w:tcW w:w="7854" w:type="dxa"/>
            <w:tcBorders>
              <w:bottom w:val="dotted" w:sz="4" w:space="0" w:color="000000"/>
            </w:tcBorders>
          </w:tcPr>
          <w:p w:rsidR="00732C25" w:rsidRDefault="00862D1C">
            <w:pPr>
              <w:pStyle w:val="TableParagraph"/>
              <w:spacing w:before="11"/>
              <w:rPr>
                <w:sz w:val="21"/>
              </w:rPr>
            </w:pPr>
            <w:r>
              <w:rPr>
                <w:spacing w:val="-4"/>
                <w:sz w:val="21"/>
              </w:rPr>
              <w:t>＜ジフテリア＞</w:t>
            </w:r>
          </w:p>
          <w:p w:rsidR="00732C25" w:rsidRDefault="00862D1C">
            <w:pPr>
              <w:pStyle w:val="TableParagraph"/>
              <w:spacing w:before="6" w:line="247" w:lineRule="auto"/>
              <w:ind w:right="83" w:firstLine="211"/>
              <w:jc w:val="both"/>
              <w:rPr>
                <w:rFonts w:hint="eastAsia"/>
                <w:sz w:val="21"/>
              </w:rPr>
            </w:pPr>
            <w:r>
              <w:rPr>
                <w:sz w:val="21"/>
              </w:rPr>
              <w:t>ジフテリア菌の感染によって起こる急性感染症です</w:t>
            </w:r>
          </w:p>
          <w:p w:rsidR="00732C25" w:rsidRDefault="00862D1C">
            <w:pPr>
              <w:pStyle w:val="TableParagraph"/>
              <w:spacing w:line="244" w:lineRule="auto"/>
              <w:ind w:right="174" w:firstLine="211"/>
              <w:jc w:val="both"/>
              <w:rPr>
                <w:sz w:val="21"/>
              </w:rPr>
            </w:pPr>
            <w:r>
              <w:rPr>
                <w:spacing w:val="-2"/>
                <w:sz w:val="21"/>
              </w:rPr>
              <w:t>症状は高熱、のどの痛み、犬吠様のせき、嘔吐などで、偽膜と呼ばれる膜ができて窒息死することもあります。発病２～３週間後には菌の出す毒素によって心筋障害や神経麻痺を起こすことがあるため注意が必要です。</w:t>
            </w:r>
          </w:p>
        </w:tc>
      </w:tr>
      <w:tr w:rsidR="00732C25">
        <w:trPr>
          <w:trHeight w:val="2671"/>
        </w:trPr>
        <w:tc>
          <w:tcPr>
            <w:tcW w:w="1966" w:type="dxa"/>
            <w:vMerge/>
            <w:tcBorders>
              <w:top w:val="nil"/>
            </w:tcBorders>
          </w:tcPr>
          <w:p w:rsidR="00732C25" w:rsidRDefault="00732C25">
            <w:pPr>
              <w:rPr>
                <w:sz w:val="2"/>
                <w:szCs w:val="2"/>
              </w:rPr>
            </w:pPr>
          </w:p>
        </w:tc>
        <w:tc>
          <w:tcPr>
            <w:tcW w:w="7854" w:type="dxa"/>
            <w:tcBorders>
              <w:top w:val="dotted" w:sz="4" w:space="0" w:color="000000"/>
            </w:tcBorders>
          </w:tcPr>
          <w:p w:rsidR="00732C25" w:rsidRDefault="00862D1C">
            <w:pPr>
              <w:pStyle w:val="TableParagraph"/>
              <w:spacing w:before="9"/>
              <w:rPr>
                <w:sz w:val="21"/>
              </w:rPr>
            </w:pPr>
            <w:r>
              <w:rPr>
                <w:spacing w:val="-4"/>
                <w:sz w:val="21"/>
              </w:rPr>
              <w:t>＜破傷風＞</w:t>
            </w:r>
          </w:p>
          <w:p w:rsidR="00732C25" w:rsidRDefault="00862D1C">
            <w:pPr>
              <w:pStyle w:val="TableParagraph"/>
              <w:spacing w:before="8" w:line="247" w:lineRule="auto"/>
              <w:ind w:right="-29" w:firstLine="211"/>
              <w:rPr>
                <w:sz w:val="21"/>
              </w:rPr>
            </w:pPr>
            <w:r>
              <w:rPr>
                <w:spacing w:val="-2"/>
                <w:sz w:val="21"/>
              </w:rPr>
              <w:t>破傷風菌はヒトからヒトへ感染するのではなく、土の中にいる菌が、傷口から</w:t>
            </w:r>
            <w:r>
              <w:rPr>
                <w:spacing w:val="80"/>
                <w:sz w:val="21"/>
              </w:rPr>
              <w:t xml:space="preserve"> </w:t>
            </w:r>
            <w:r>
              <w:rPr>
                <w:spacing w:val="-2"/>
                <w:sz w:val="21"/>
              </w:rPr>
              <w:t>ヒトの体内に入ることによって感染します。菌が体の中で増えると、菌の出す毒素のために、筋肉のけいれんを起こします。最初は口が開かなくなるなどの症状が気付かれ、やがて全身のけいれんを起こすようになり、治療が遅れると死に至ることもある病気です。患者の半数は本人や周りの人では気が付かない程度の軽い刺し傷が原因です。土中に菌がいるため、感染する機会は常にあります。また、お母さんが抵抗力（免疫）をもっていれば出産時に新生児が破傷風にかかるのを防ぐことができます。</w:t>
            </w:r>
          </w:p>
        </w:tc>
      </w:tr>
      <w:tr w:rsidR="00732C25">
        <w:trPr>
          <w:trHeight w:val="426"/>
        </w:trPr>
        <w:tc>
          <w:tcPr>
            <w:tcW w:w="1966" w:type="dxa"/>
          </w:tcPr>
          <w:p w:rsidR="00732C25" w:rsidRDefault="00862D1C">
            <w:pPr>
              <w:pStyle w:val="TableParagraph"/>
              <w:spacing w:before="35"/>
            </w:pPr>
            <w:r>
              <w:rPr>
                <w:spacing w:val="-3"/>
              </w:rPr>
              <w:t>接種回数</w:t>
            </w:r>
          </w:p>
        </w:tc>
        <w:tc>
          <w:tcPr>
            <w:tcW w:w="7854" w:type="dxa"/>
          </w:tcPr>
          <w:p w:rsidR="00732C25" w:rsidRDefault="00862D1C">
            <w:pPr>
              <w:pStyle w:val="TableParagraph"/>
              <w:spacing w:before="42"/>
              <w:rPr>
                <w:sz w:val="21"/>
              </w:rPr>
            </w:pPr>
            <w:r>
              <w:rPr>
                <w:sz w:val="21"/>
              </w:rPr>
              <w:t>1</w:t>
            </w:r>
            <w:r>
              <w:rPr>
                <w:spacing w:val="-14"/>
                <w:sz w:val="21"/>
              </w:rPr>
              <w:t xml:space="preserve"> 回</w:t>
            </w:r>
          </w:p>
        </w:tc>
      </w:tr>
      <w:tr w:rsidR="00732C25">
        <w:trPr>
          <w:trHeight w:val="474"/>
        </w:trPr>
        <w:tc>
          <w:tcPr>
            <w:tcW w:w="1966" w:type="dxa"/>
          </w:tcPr>
          <w:p w:rsidR="00732C25" w:rsidRDefault="00862D1C">
            <w:pPr>
              <w:pStyle w:val="TableParagraph"/>
              <w:spacing w:before="35"/>
            </w:pPr>
            <w:r>
              <w:rPr>
                <w:spacing w:val="-3"/>
              </w:rPr>
              <w:t>実施時期</w:t>
            </w:r>
          </w:p>
        </w:tc>
        <w:tc>
          <w:tcPr>
            <w:tcW w:w="7854" w:type="dxa"/>
          </w:tcPr>
          <w:p w:rsidR="00732C25" w:rsidRDefault="00862D1C">
            <w:pPr>
              <w:pStyle w:val="TableParagraph"/>
              <w:spacing w:before="42"/>
              <w:rPr>
                <w:sz w:val="21"/>
              </w:rPr>
            </w:pPr>
            <w:r>
              <w:rPr>
                <w:spacing w:val="-4"/>
                <w:sz w:val="21"/>
              </w:rPr>
              <w:t>年間通して実施</w:t>
            </w:r>
          </w:p>
        </w:tc>
      </w:tr>
      <w:tr w:rsidR="00732C25">
        <w:trPr>
          <w:trHeight w:val="535"/>
        </w:trPr>
        <w:tc>
          <w:tcPr>
            <w:tcW w:w="1966" w:type="dxa"/>
          </w:tcPr>
          <w:p w:rsidR="00732C25" w:rsidRDefault="00862D1C">
            <w:pPr>
              <w:pStyle w:val="TableParagraph"/>
              <w:spacing w:before="35"/>
            </w:pPr>
            <w:r>
              <w:rPr>
                <w:spacing w:val="-3"/>
              </w:rPr>
              <w:t>実施場所</w:t>
            </w:r>
          </w:p>
        </w:tc>
        <w:tc>
          <w:tcPr>
            <w:tcW w:w="7854" w:type="dxa"/>
          </w:tcPr>
          <w:p w:rsidR="00732C25" w:rsidRDefault="00862D1C">
            <w:pPr>
              <w:pStyle w:val="TableParagraph"/>
              <w:spacing w:before="42"/>
              <w:rPr>
                <w:sz w:val="21"/>
              </w:rPr>
            </w:pPr>
            <w:r>
              <w:rPr>
                <w:spacing w:val="-3"/>
                <w:sz w:val="21"/>
              </w:rPr>
              <w:t>個別予防接種実施医療機関</w:t>
            </w:r>
          </w:p>
        </w:tc>
      </w:tr>
      <w:tr w:rsidR="00732C25">
        <w:trPr>
          <w:trHeight w:val="1151"/>
        </w:trPr>
        <w:tc>
          <w:tcPr>
            <w:tcW w:w="1966" w:type="dxa"/>
          </w:tcPr>
          <w:p w:rsidR="00732C25" w:rsidRDefault="00862D1C">
            <w:pPr>
              <w:pStyle w:val="TableParagraph"/>
              <w:spacing w:before="37"/>
            </w:pPr>
            <w:r>
              <w:rPr>
                <w:spacing w:val="-3"/>
              </w:rPr>
              <w:t>注意事項</w:t>
            </w:r>
          </w:p>
        </w:tc>
        <w:tc>
          <w:tcPr>
            <w:tcW w:w="7854" w:type="dxa"/>
          </w:tcPr>
          <w:p w:rsidR="00732C25" w:rsidRDefault="00862D1C">
            <w:pPr>
              <w:pStyle w:val="TableParagraph"/>
              <w:ind w:right="175"/>
              <w:rPr>
                <w:sz w:val="21"/>
              </w:rPr>
            </w:pPr>
            <w:r>
              <w:rPr>
                <w:spacing w:val="-2"/>
                <w:sz w:val="21"/>
              </w:rPr>
              <w:t>・乳幼児期に三種混合又は、四種混合の接種が完了していない場合は、かかりつけ医とご相談ください。</w:t>
            </w:r>
          </w:p>
          <w:p w:rsidR="00732C25" w:rsidRDefault="00862D1C">
            <w:pPr>
              <w:pStyle w:val="TableParagraph"/>
              <w:ind w:right="177"/>
              <w:rPr>
                <w:sz w:val="21"/>
              </w:rPr>
            </w:pPr>
            <w:r>
              <w:rPr>
                <w:sz w:val="21"/>
              </w:rPr>
              <w:t>・2</w:t>
            </w:r>
            <w:r>
              <w:rPr>
                <w:spacing w:val="-5"/>
                <w:sz w:val="21"/>
              </w:rPr>
              <w:t xml:space="preserve"> 期の接種に使用するワクチンは、沈降ジフテリア破傷風混合トキソイド</w:t>
            </w:r>
            <w:r>
              <w:rPr>
                <w:sz w:val="21"/>
              </w:rPr>
              <w:t xml:space="preserve">（Ｄ </w:t>
            </w:r>
            <w:r>
              <w:rPr>
                <w:spacing w:val="-2"/>
                <w:sz w:val="21"/>
              </w:rPr>
              <w:t>Ｔ）のみ使用。</w:t>
            </w:r>
          </w:p>
        </w:tc>
      </w:tr>
      <w:tr w:rsidR="00732C25">
        <w:trPr>
          <w:trHeight w:val="1336"/>
        </w:trPr>
        <w:tc>
          <w:tcPr>
            <w:tcW w:w="1966" w:type="dxa"/>
          </w:tcPr>
          <w:p w:rsidR="00732C25" w:rsidRDefault="00862D1C">
            <w:pPr>
              <w:pStyle w:val="TableParagraph"/>
              <w:spacing w:before="35"/>
            </w:pPr>
            <w:r>
              <w:rPr>
                <w:spacing w:val="-4"/>
              </w:rPr>
              <w:t>副反応</w:t>
            </w:r>
          </w:p>
        </w:tc>
        <w:tc>
          <w:tcPr>
            <w:tcW w:w="7854" w:type="dxa"/>
          </w:tcPr>
          <w:p w:rsidR="00732C25" w:rsidRDefault="00862D1C">
            <w:pPr>
              <w:pStyle w:val="TableParagraph"/>
              <w:ind w:right="124" w:firstLine="211"/>
              <w:jc w:val="both"/>
              <w:rPr>
                <w:sz w:val="21"/>
              </w:rPr>
            </w:pPr>
            <w:r>
              <w:rPr>
                <w:spacing w:val="-2"/>
                <w:sz w:val="21"/>
              </w:rPr>
              <w:t xml:space="preserve">局所の反応は最も多く、接種後 </w:t>
            </w:r>
            <w:r>
              <w:rPr>
                <w:sz w:val="21"/>
              </w:rPr>
              <w:t>7</w:t>
            </w:r>
            <w:r>
              <w:rPr>
                <w:spacing w:val="-4"/>
                <w:sz w:val="21"/>
              </w:rPr>
              <w:t xml:space="preserve"> 日までに発赤・腫脹・硬結の局所反応がみら</w:t>
            </w:r>
            <w:r>
              <w:rPr>
                <w:spacing w:val="-2"/>
                <w:sz w:val="21"/>
              </w:rPr>
              <w:t>れます。局所反応は数日で自然に治まるが、硬結は縮小しながらも数か月持続す</w:t>
            </w:r>
            <w:r>
              <w:rPr>
                <w:spacing w:val="-1"/>
                <w:sz w:val="21"/>
              </w:rPr>
              <w:t xml:space="preserve">ることがあります。接種後の </w:t>
            </w:r>
            <w:r>
              <w:rPr>
                <w:sz w:val="21"/>
              </w:rPr>
              <w:t>37.5</w:t>
            </w:r>
            <w:r>
              <w:rPr>
                <w:spacing w:val="-4"/>
                <w:sz w:val="21"/>
              </w:rPr>
              <w:t xml:space="preserve">℃以上 </w:t>
            </w:r>
            <w:r>
              <w:rPr>
                <w:sz w:val="21"/>
              </w:rPr>
              <w:t>38.5</w:t>
            </w:r>
            <w:r>
              <w:rPr>
                <w:spacing w:val="-2"/>
                <w:sz w:val="21"/>
              </w:rPr>
              <w:t xml:space="preserve">℃未満の発熱や </w:t>
            </w:r>
            <w:r>
              <w:rPr>
                <w:sz w:val="21"/>
              </w:rPr>
              <w:t>38.5℃以上の発熱も、接種後 1～2 日目に発現のピークがあります。</w:t>
            </w:r>
          </w:p>
        </w:tc>
      </w:tr>
      <w:tr w:rsidR="00732C25">
        <w:trPr>
          <w:trHeight w:val="700"/>
        </w:trPr>
        <w:tc>
          <w:tcPr>
            <w:tcW w:w="1966" w:type="dxa"/>
          </w:tcPr>
          <w:p w:rsidR="00732C25" w:rsidRDefault="00862D1C">
            <w:pPr>
              <w:pStyle w:val="TableParagraph"/>
              <w:spacing w:before="35"/>
            </w:pPr>
            <w:r>
              <w:rPr>
                <w:spacing w:val="-5"/>
              </w:rPr>
              <w:t>備考</w:t>
            </w:r>
          </w:p>
        </w:tc>
        <w:tc>
          <w:tcPr>
            <w:tcW w:w="7854" w:type="dxa"/>
          </w:tcPr>
          <w:p w:rsidR="00732C25" w:rsidRDefault="00862D1C">
            <w:pPr>
              <w:pStyle w:val="TableParagraph"/>
              <w:spacing w:line="269" w:lineRule="exact"/>
              <w:rPr>
                <w:sz w:val="21"/>
              </w:rPr>
            </w:pPr>
            <w:r>
              <w:rPr>
                <w:spacing w:val="-3"/>
                <w:sz w:val="21"/>
              </w:rPr>
              <w:t>各医療機関に予約の有無や時間を確認してください。</w:t>
            </w:r>
          </w:p>
          <w:p w:rsidR="00732C25" w:rsidRDefault="00862D1C">
            <w:pPr>
              <w:pStyle w:val="TableParagraph"/>
              <w:spacing w:line="272" w:lineRule="exact"/>
              <w:rPr>
                <w:sz w:val="21"/>
              </w:rPr>
            </w:pPr>
            <w:r>
              <w:rPr>
                <w:spacing w:val="-3"/>
                <w:sz w:val="21"/>
              </w:rPr>
              <w:t>必ず体温を測って、予診票と母子健康手帳を持っていきましょう。</w:t>
            </w:r>
          </w:p>
        </w:tc>
      </w:tr>
    </w:tbl>
    <w:p w:rsidR="00744E4A" w:rsidRDefault="00744E4A" w:rsidP="00744E4A">
      <w:r>
        <w:rPr>
          <w:rFonts w:hint="eastAsia"/>
        </w:rPr>
        <w:t xml:space="preserve">　　　　　　　　　　　　　　　　　　　　　</w:t>
      </w:r>
    </w:p>
    <w:p w:rsidR="00F23603" w:rsidRPr="002E36B2" w:rsidRDefault="00744E4A" w:rsidP="00744E4A">
      <w:pPr>
        <w:rPr>
          <w:noProof/>
        </w:rPr>
      </w:pPr>
      <w:r>
        <w:rPr>
          <w:noProof/>
        </w:rPr>
        <w:drawing>
          <wp:inline distT="0" distB="0" distL="0" distR="0" wp14:anchorId="5BDEDE2A">
            <wp:extent cx="1146370" cy="1155065"/>
            <wp:effectExtent l="0" t="0" r="0" b="698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9334" cy="1208431"/>
                    </a:xfrm>
                    <a:prstGeom prst="rect">
                      <a:avLst/>
                    </a:prstGeom>
                    <a:noFill/>
                    <a:ln>
                      <a:noFill/>
                    </a:ln>
                  </pic:spPr>
                </pic:pic>
              </a:graphicData>
            </a:graphic>
          </wp:inline>
        </w:drawing>
      </w:r>
      <w:r>
        <w:rPr>
          <w:rFonts w:hint="eastAsia"/>
          <w:noProof/>
        </w:rPr>
        <w:t xml:space="preserve">　</w:t>
      </w:r>
      <w:r>
        <w:rPr>
          <w:noProof/>
        </w:rPr>
        <mc:AlternateContent>
          <mc:Choice Requires="wps">
            <w:drawing>
              <wp:inline distT="0" distB="0" distL="0" distR="0" wp14:anchorId="6A2D37ED" wp14:editId="30DA3E56">
                <wp:extent cx="304800" cy="304800"/>
                <wp:effectExtent l="0" t="0" r="0" b="0"/>
                <wp:docPr id="3" name="AutoShape 3" descr="https://kids.wanpug.com/illust/illust198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084E1C" id="AutoShape 3" o:spid="_x0000_s1026" alt="https://kids.wanpug.com/illust/illust198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MUtFezSAgAA7QUAAA4AAAAAAAAAAAAAAAAALgIAAGRycy9lMm9Eb2MueG1s&#10;UEsBAi0AFAAGAAgAAAAhAEyg6SzYAAAAAwEAAA8AAAAAAAAAAAAAAAAALAUAAGRycy9kb3ducmV2&#10;LnhtbFBLBQYAAAAABAAEAPMAAAAxBgAAAAA=&#10;" filled="f" stroked="f">
                <o:lock v:ext="edit" aspectratio="t"/>
                <w10:anchorlock/>
              </v:rect>
            </w:pict>
          </mc:Fallback>
        </mc:AlternateContent>
      </w:r>
      <w:r>
        <w:rPr>
          <w:rFonts w:hint="eastAsia"/>
          <w:noProof/>
        </w:rPr>
        <w:t xml:space="preserve">　　　　　</w:t>
      </w:r>
      <w:r>
        <w:rPr>
          <w:noProof/>
        </w:rPr>
        <mc:AlternateContent>
          <mc:Choice Requires="wps">
            <w:drawing>
              <wp:inline distT="0" distB="0" distL="0" distR="0" wp14:anchorId="69C29CC9" wp14:editId="5DB2D97F">
                <wp:extent cx="304800" cy="304800"/>
                <wp:effectExtent l="0" t="0" r="0" b="0"/>
                <wp:docPr id="4" name="AutoShape 4" descr="https://kids.wanpug.com/illust/illust198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46E20" id="AutoShape 4" o:spid="_x0000_s1026" alt="https://kids.wanpug.com/illust/illust1983.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kszOX0wIAAO0FAAAOAAAAAAAAAAAAAAAAAC4CAABkcnMvZTJvRG9jLnht&#10;bFBLAQItABQABgAIAAAAIQBMoOks2AAAAAMBAAAPAAAAAAAAAAAAAAAAAC0FAABkcnMvZG93bnJl&#10;di54bWxQSwUGAAAAAAQABADzAAAAMgYAAAAA&#10;" filled="f" stroked="f">
                <o:lock v:ext="edit" aspectratio="t"/>
                <w10:anchorlock/>
              </v:rect>
            </w:pict>
          </mc:Fallback>
        </mc:AlternateContent>
      </w:r>
      <w:r w:rsidR="002E36B2">
        <w:rPr>
          <w:rFonts w:hint="eastAsia"/>
          <w:noProof/>
        </w:rPr>
        <w:t xml:space="preserve">　　　　　　　　　　　　　　　　　　</w:t>
      </w:r>
      <w:r w:rsidR="002E36B2">
        <w:rPr>
          <w:noProof/>
          <w:spacing w:val="-7"/>
        </w:rPr>
        <w:drawing>
          <wp:inline distT="0" distB="0" distL="0" distR="0" wp14:anchorId="0AFF3D2E" wp14:editId="7CDAB9D7">
            <wp:extent cx="1085850" cy="1268095"/>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268095"/>
                    </a:xfrm>
                    <a:prstGeom prst="rect">
                      <a:avLst/>
                    </a:prstGeom>
                    <a:noFill/>
                    <a:ln>
                      <a:noFill/>
                    </a:ln>
                  </pic:spPr>
                </pic:pic>
              </a:graphicData>
            </a:graphic>
          </wp:inline>
        </w:drawing>
      </w:r>
      <w:bookmarkStart w:id="0" w:name="_GoBack"/>
      <w:bookmarkEnd w:id="0"/>
    </w:p>
    <w:sectPr w:rsidR="00F23603" w:rsidRPr="002E36B2">
      <w:type w:val="continuous"/>
      <w:pgSz w:w="11910" w:h="16840"/>
      <w:pgMar w:top="320" w:right="90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040" w:rsidRDefault="00CB6040" w:rsidP="00CB6040">
      <w:r>
        <w:separator/>
      </w:r>
    </w:p>
  </w:endnote>
  <w:endnote w:type="continuationSeparator" w:id="0">
    <w:p w:rsidR="00CB6040" w:rsidRDefault="00CB6040" w:rsidP="00CB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040" w:rsidRDefault="00CB6040" w:rsidP="00CB6040">
      <w:r>
        <w:separator/>
      </w:r>
    </w:p>
  </w:footnote>
  <w:footnote w:type="continuationSeparator" w:id="0">
    <w:p w:rsidR="00CB6040" w:rsidRDefault="00CB6040" w:rsidP="00CB6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25"/>
    <w:rsid w:val="002E36B2"/>
    <w:rsid w:val="00732C25"/>
    <w:rsid w:val="00744E4A"/>
    <w:rsid w:val="00862D1C"/>
    <w:rsid w:val="00CB6040"/>
    <w:rsid w:val="00F23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4B9D6A"/>
  <w15:docId w15:val="{FB93F66B-A81F-4210-9BDD-C2523111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HG丸ｺﾞｼｯｸM-PRO" w:eastAsia="HG丸ｺﾞｼｯｸM-PRO" w:hAnsi="HG丸ｺﾞｼｯｸM-PRO" w:cs="HG丸ｺﾞｼｯｸM-PR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98"/>
    </w:pPr>
  </w:style>
  <w:style w:type="paragraph" w:styleId="a5">
    <w:name w:val="header"/>
    <w:basedOn w:val="a"/>
    <w:link w:val="a6"/>
    <w:uiPriority w:val="99"/>
    <w:unhideWhenUsed/>
    <w:rsid w:val="00CB6040"/>
    <w:pPr>
      <w:tabs>
        <w:tab w:val="center" w:pos="4252"/>
        <w:tab w:val="right" w:pos="8504"/>
      </w:tabs>
      <w:snapToGrid w:val="0"/>
    </w:pPr>
  </w:style>
  <w:style w:type="character" w:customStyle="1" w:styleId="a6">
    <w:name w:val="ヘッダー (文字)"/>
    <w:basedOn w:val="a0"/>
    <w:link w:val="a5"/>
    <w:uiPriority w:val="99"/>
    <w:rsid w:val="00CB6040"/>
    <w:rPr>
      <w:rFonts w:ascii="HG丸ｺﾞｼｯｸM-PRO" w:eastAsia="HG丸ｺﾞｼｯｸM-PRO" w:hAnsi="HG丸ｺﾞｼｯｸM-PRO" w:cs="HG丸ｺﾞｼｯｸM-PRO"/>
      <w:lang w:eastAsia="ja-JP"/>
    </w:rPr>
  </w:style>
  <w:style w:type="paragraph" w:styleId="a7">
    <w:name w:val="footer"/>
    <w:basedOn w:val="a"/>
    <w:link w:val="a8"/>
    <w:uiPriority w:val="99"/>
    <w:unhideWhenUsed/>
    <w:rsid w:val="00CB6040"/>
    <w:pPr>
      <w:tabs>
        <w:tab w:val="center" w:pos="4252"/>
        <w:tab w:val="right" w:pos="8504"/>
      </w:tabs>
      <w:snapToGrid w:val="0"/>
    </w:pPr>
  </w:style>
  <w:style w:type="character" w:customStyle="1" w:styleId="a8">
    <w:name w:val="フッター (文字)"/>
    <w:basedOn w:val="a0"/>
    <w:link w:val="a7"/>
    <w:uiPriority w:val="99"/>
    <w:rsid w:val="00CB6040"/>
    <w:rPr>
      <w:rFonts w:ascii="HG丸ｺﾞｼｯｸM-PRO" w:eastAsia="HG丸ｺﾞｼｯｸM-PRO" w:hAnsi="HG丸ｺﾞｼｯｸM-PRO" w:cs="HG丸ｺﾞｼｯｸM-PR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二種混合予防接種（ジフテリア・破傷風）について</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二種混合予防接種（ジフテリア・破傷風）について</dc:title>
  <dc:creator>佐賀市</dc:creator>
  <cp:lastModifiedBy>kodomomirai</cp:lastModifiedBy>
  <cp:revision>4</cp:revision>
  <dcterms:created xsi:type="dcterms:W3CDTF">2024-06-13T06:47:00Z</dcterms:created>
  <dcterms:modified xsi:type="dcterms:W3CDTF">2024-06-13T08:30:00Z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2016</vt:lpwstr>
  </property>
  <property fmtid="{D5CDD505-2E9C-101B-9397-08002B2CF9AE}" pid="4" name="LastSaved">
    <vt:filetime>2024-06-13T00:00:00Z</vt:filetime>
  </property>
  <property fmtid="{D5CDD505-2E9C-101B-9397-08002B2CF9AE}" pid="5" name="Producer">
    <vt:lpwstr>Microsoft® Word 2016</vt:lpwstr>
  </property>
</Properties>
</file>