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985" w:rsidRDefault="00340985">
      <w:pPr>
        <w:pStyle w:val="a3"/>
        <w:spacing w:before="117"/>
        <w:rPr>
          <w:rFonts w:ascii="Times New Roman"/>
          <w:b w:val="0"/>
        </w:rPr>
      </w:pPr>
    </w:p>
    <w:p w:rsidR="00340985" w:rsidRDefault="00C114DC">
      <w:pPr>
        <w:pStyle w:val="a3"/>
        <w:ind w:left="2870"/>
      </w:pPr>
      <w:r>
        <w:rPr>
          <w:spacing w:val="-5"/>
        </w:rPr>
        <w:t>麻しん風しん混合予防接種の説明</w:t>
      </w:r>
    </w:p>
    <w:p w:rsidR="00340985" w:rsidRDefault="00C114DC">
      <w:pPr>
        <w:spacing w:before="49"/>
        <w:ind w:right="236"/>
        <w:jc w:val="right"/>
        <w:rPr>
          <w:sz w:val="14"/>
        </w:rPr>
      </w:pPr>
      <w:r>
        <w:br w:type="column"/>
      </w:r>
      <w:r>
        <w:rPr>
          <w:spacing w:val="-4"/>
          <w:sz w:val="14"/>
        </w:rPr>
        <w:t>Ｒ6.4</w:t>
      </w:r>
    </w:p>
    <w:p w:rsidR="00340985" w:rsidRDefault="00340985">
      <w:pPr>
        <w:jc w:val="right"/>
        <w:rPr>
          <w:sz w:val="14"/>
        </w:rPr>
        <w:sectPr w:rsidR="00340985">
          <w:type w:val="continuous"/>
          <w:pgSz w:w="11910" w:h="16840"/>
          <w:pgMar w:top="260" w:right="1080" w:bottom="280" w:left="780" w:header="720" w:footer="720" w:gutter="0"/>
          <w:cols w:num="2" w:space="720" w:equalWidth="0">
            <w:col w:w="7089" w:space="40"/>
            <w:col w:w="2921"/>
          </w:cols>
        </w:sectPr>
      </w:pPr>
    </w:p>
    <w:p w:rsidR="00340985" w:rsidRDefault="00340985">
      <w:pPr>
        <w:rPr>
          <w:sz w:val="15"/>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9"/>
        <w:gridCol w:w="7922"/>
      </w:tblGrid>
      <w:tr w:rsidR="00340985">
        <w:trPr>
          <w:trHeight w:val="556"/>
        </w:trPr>
        <w:tc>
          <w:tcPr>
            <w:tcW w:w="1899" w:type="dxa"/>
          </w:tcPr>
          <w:p w:rsidR="00340985" w:rsidRDefault="00C114DC">
            <w:pPr>
              <w:pStyle w:val="TableParagraph"/>
              <w:spacing w:before="133"/>
              <w:ind w:left="287"/>
            </w:pPr>
            <w:r>
              <w:rPr>
                <w:spacing w:val="-4"/>
              </w:rPr>
              <w:t>接種対象年齢</w:t>
            </w:r>
          </w:p>
        </w:tc>
        <w:tc>
          <w:tcPr>
            <w:tcW w:w="7922" w:type="dxa"/>
          </w:tcPr>
          <w:p w:rsidR="00340985" w:rsidRDefault="00C114DC">
            <w:pPr>
              <w:pStyle w:val="TableParagraph"/>
              <w:numPr>
                <w:ilvl w:val="0"/>
                <w:numId w:val="2"/>
              </w:numPr>
              <w:tabs>
                <w:tab w:val="left" w:pos="306"/>
              </w:tabs>
              <w:spacing w:line="269" w:lineRule="exact"/>
              <w:ind w:hanging="208"/>
              <w:rPr>
                <w:sz w:val="21"/>
              </w:rPr>
            </w:pPr>
            <w:r>
              <w:rPr>
                <w:spacing w:val="-2"/>
                <w:sz w:val="21"/>
              </w:rPr>
              <w:t>期：1</w:t>
            </w:r>
            <w:r>
              <w:rPr>
                <w:spacing w:val="-8"/>
                <w:sz w:val="21"/>
              </w:rPr>
              <w:t xml:space="preserve"> 歳から </w:t>
            </w:r>
            <w:r>
              <w:rPr>
                <w:spacing w:val="-2"/>
                <w:sz w:val="21"/>
              </w:rPr>
              <w:t>2</w:t>
            </w:r>
            <w:r>
              <w:rPr>
                <w:spacing w:val="-7"/>
                <w:sz w:val="21"/>
              </w:rPr>
              <w:t xml:space="preserve"> 歳に至るまで</w:t>
            </w:r>
          </w:p>
          <w:p w:rsidR="00340985" w:rsidRDefault="00C114DC">
            <w:pPr>
              <w:pStyle w:val="TableParagraph"/>
              <w:numPr>
                <w:ilvl w:val="0"/>
                <w:numId w:val="2"/>
              </w:numPr>
              <w:tabs>
                <w:tab w:val="left" w:pos="306"/>
              </w:tabs>
              <w:spacing w:line="267" w:lineRule="exact"/>
              <w:ind w:hanging="208"/>
              <w:rPr>
                <w:sz w:val="21"/>
              </w:rPr>
            </w:pPr>
            <w:r>
              <w:rPr>
                <w:spacing w:val="-3"/>
                <w:sz w:val="21"/>
              </w:rPr>
              <w:t xml:space="preserve">期：小学校就学前の </w:t>
            </w:r>
            <w:r>
              <w:rPr>
                <w:spacing w:val="-2"/>
                <w:sz w:val="21"/>
              </w:rPr>
              <w:t>1</w:t>
            </w:r>
            <w:r>
              <w:rPr>
                <w:spacing w:val="-5"/>
                <w:sz w:val="21"/>
              </w:rPr>
              <w:t xml:space="preserve"> 年間</w:t>
            </w:r>
            <w:r>
              <w:rPr>
                <w:spacing w:val="-2"/>
                <w:sz w:val="21"/>
              </w:rPr>
              <w:t>（いわゆる幼稚園、保育所等の年長児</w:t>
            </w:r>
            <w:r>
              <w:rPr>
                <w:spacing w:val="-10"/>
                <w:sz w:val="21"/>
              </w:rPr>
              <w:t>）</w:t>
            </w:r>
          </w:p>
        </w:tc>
      </w:tr>
      <w:tr w:rsidR="00340985">
        <w:trPr>
          <w:trHeight w:val="360"/>
        </w:trPr>
        <w:tc>
          <w:tcPr>
            <w:tcW w:w="1899" w:type="dxa"/>
          </w:tcPr>
          <w:p w:rsidR="00340985" w:rsidRDefault="00C114DC">
            <w:pPr>
              <w:pStyle w:val="TableParagraph"/>
              <w:spacing w:before="35"/>
            </w:pPr>
            <w:r>
              <w:rPr>
                <w:spacing w:val="-4"/>
              </w:rPr>
              <w:t>ワクチンの種類</w:t>
            </w:r>
          </w:p>
        </w:tc>
        <w:tc>
          <w:tcPr>
            <w:tcW w:w="7922" w:type="dxa"/>
          </w:tcPr>
          <w:p w:rsidR="00340985" w:rsidRDefault="00C114DC">
            <w:pPr>
              <w:pStyle w:val="TableParagraph"/>
              <w:spacing w:before="43"/>
              <w:rPr>
                <w:sz w:val="21"/>
              </w:rPr>
            </w:pPr>
            <w:r>
              <w:rPr>
                <w:spacing w:val="-4"/>
                <w:sz w:val="21"/>
              </w:rPr>
              <w:t>生ワクチン</w:t>
            </w:r>
          </w:p>
        </w:tc>
      </w:tr>
      <w:tr w:rsidR="00340985">
        <w:trPr>
          <w:trHeight w:val="3318"/>
        </w:trPr>
        <w:tc>
          <w:tcPr>
            <w:tcW w:w="1899" w:type="dxa"/>
            <w:vMerge w:val="restart"/>
          </w:tcPr>
          <w:p w:rsidR="00340985" w:rsidRDefault="00C114DC">
            <w:pPr>
              <w:pStyle w:val="TableParagraph"/>
              <w:spacing w:before="35"/>
            </w:pPr>
            <w:r>
              <w:rPr>
                <w:spacing w:val="-4"/>
              </w:rPr>
              <w:t>予防する病気</w:t>
            </w:r>
          </w:p>
        </w:tc>
        <w:tc>
          <w:tcPr>
            <w:tcW w:w="7922" w:type="dxa"/>
          </w:tcPr>
          <w:p w:rsidR="00340985" w:rsidRDefault="00C114DC">
            <w:pPr>
              <w:pStyle w:val="TableParagraph"/>
              <w:spacing w:before="11"/>
              <w:rPr>
                <w:sz w:val="21"/>
              </w:rPr>
            </w:pPr>
            <w:r>
              <w:rPr>
                <w:spacing w:val="-2"/>
                <w:sz w:val="21"/>
              </w:rPr>
              <w:t>＜麻しん（はしか</w:t>
            </w:r>
            <w:r>
              <w:rPr>
                <w:spacing w:val="-5"/>
                <w:sz w:val="21"/>
              </w:rPr>
              <w:t>）＞</w:t>
            </w:r>
          </w:p>
          <w:p w:rsidR="00340985" w:rsidRDefault="00C114DC">
            <w:pPr>
              <w:pStyle w:val="TableParagraph"/>
              <w:spacing w:before="18" w:line="259" w:lineRule="auto"/>
              <w:ind w:right="16" w:firstLine="199"/>
              <w:rPr>
                <w:sz w:val="20"/>
              </w:rPr>
            </w:pPr>
            <w:r>
              <w:rPr>
                <w:spacing w:val="-2"/>
                <w:sz w:val="20"/>
              </w:rPr>
              <w:t>麻しんウイルスの感染によって起こります。感染力が強く、予防接種を受けないと、多くの人がかかる病気です。発熱、せき、鼻汁、めやに、発疹を主症状とします。最初 ３～４日間は 38℃前後の熱で、一時おさまりかけたかと思うと、また 39～40℃の高熱と発疹がでます。高熱は 3～4 日で解熱し、次第に発疹も消失します。しばらく色素沈着が残ります。主な合併症としては、気管支炎、肺炎、中耳炎、脳炎があります。患</w:t>
            </w:r>
            <w:r>
              <w:rPr>
                <w:spacing w:val="-9"/>
                <w:sz w:val="20"/>
              </w:rPr>
              <w:t xml:space="preserve">者 </w:t>
            </w:r>
            <w:r>
              <w:rPr>
                <w:spacing w:val="-2"/>
                <w:sz w:val="20"/>
              </w:rPr>
              <w:t>100</w:t>
            </w:r>
            <w:r>
              <w:rPr>
                <w:spacing w:val="-7"/>
                <w:sz w:val="20"/>
              </w:rPr>
              <w:t xml:space="preserve"> 人中、中耳炎は約 </w:t>
            </w:r>
            <w:r>
              <w:rPr>
                <w:spacing w:val="-2"/>
                <w:sz w:val="20"/>
              </w:rPr>
              <w:t>7～9</w:t>
            </w:r>
            <w:r>
              <w:rPr>
                <w:spacing w:val="-8"/>
                <w:sz w:val="20"/>
              </w:rPr>
              <w:t xml:space="preserve"> 人、肺炎は約 </w:t>
            </w:r>
            <w:r>
              <w:rPr>
                <w:spacing w:val="-2"/>
                <w:sz w:val="20"/>
              </w:rPr>
              <w:t>1～6</w:t>
            </w:r>
            <w:r>
              <w:rPr>
                <w:spacing w:val="-7"/>
                <w:sz w:val="20"/>
              </w:rPr>
              <w:t xml:space="preserve"> 人に合併します。脳炎は約 </w:t>
            </w:r>
            <w:r>
              <w:rPr>
                <w:spacing w:val="-2"/>
                <w:sz w:val="20"/>
              </w:rPr>
              <w:t>1,000</w:t>
            </w:r>
            <w:r>
              <w:rPr>
                <w:spacing w:val="-6"/>
                <w:sz w:val="20"/>
              </w:rPr>
              <w:t xml:space="preserve">人に </w:t>
            </w:r>
            <w:r>
              <w:rPr>
                <w:sz w:val="20"/>
              </w:rPr>
              <w:t>1～2</w:t>
            </w:r>
            <w:r>
              <w:rPr>
                <w:spacing w:val="-4"/>
                <w:sz w:val="20"/>
              </w:rPr>
              <w:t xml:space="preserve"> 人の割合で発生がみられます。また亜急性硬化性全脳炎</w:t>
            </w:r>
            <w:r>
              <w:rPr>
                <w:sz w:val="20"/>
              </w:rPr>
              <w:t>（SSPE）という慢性に経過する脳炎は約 10 万例に 1～2 例発生します。</w:t>
            </w:r>
          </w:p>
          <w:p w:rsidR="00340985" w:rsidRDefault="00C114DC">
            <w:pPr>
              <w:pStyle w:val="TableParagraph"/>
              <w:spacing w:line="259" w:lineRule="auto"/>
              <w:ind w:right="92" w:firstLine="199"/>
              <w:rPr>
                <w:sz w:val="20"/>
              </w:rPr>
            </w:pPr>
            <w:r>
              <w:rPr>
                <w:spacing w:val="-3"/>
                <w:sz w:val="20"/>
              </w:rPr>
              <w:t xml:space="preserve">はしかは、医療が発達した先進国であっても、かかった人の約 </w:t>
            </w:r>
            <w:r>
              <w:rPr>
                <w:spacing w:val="-2"/>
                <w:sz w:val="20"/>
              </w:rPr>
              <w:t>1,000</w:t>
            </w:r>
            <w:r>
              <w:rPr>
                <w:spacing w:val="-10"/>
                <w:sz w:val="20"/>
              </w:rPr>
              <w:t xml:space="preserve"> 人に </w:t>
            </w:r>
            <w:r>
              <w:rPr>
                <w:spacing w:val="-2"/>
                <w:sz w:val="20"/>
              </w:rPr>
              <w:t>1</w:t>
            </w:r>
            <w:r>
              <w:rPr>
                <w:spacing w:val="-6"/>
                <w:sz w:val="20"/>
              </w:rPr>
              <w:t xml:space="preserve"> 人が死</w:t>
            </w:r>
            <w:r>
              <w:rPr>
                <w:spacing w:val="-2"/>
                <w:sz w:val="20"/>
              </w:rPr>
              <w:t>亡する重症の病気です。</w:t>
            </w:r>
          </w:p>
        </w:tc>
      </w:tr>
      <w:tr w:rsidR="00340985">
        <w:trPr>
          <w:trHeight w:val="2508"/>
        </w:trPr>
        <w:tc>
          <w:tcPr>
            <w:tcW w:w="1899" w:type="dxa"/>
            <w:vMerge/>
            <w:tcBorders>
              <w:top w:val="nil"/>
            </w:tcBorders>
          </w:tcPr>
          <w:p w:rsidR="00340985" w:rsidRDefault="00340985">
            <w:pPr>
              <w:rPr>
                <w:sz w:val="2"/>
                <w:szCs w:val="2"/>
              </w:rPr>
            </w:pPr>
          </w:p>
        </w:tc>
        <w:tc>
          <w:tcPr>
            <w:tcW w:w="7922" w:type="dxa"/>
          </w:tcPr>
          <w:p w:rsidR="00340985" w:rsidRDefault="00C114DC">
            <w:pPr>
              <w:pStyle w:val="TableParagraph"/>
              <w:spacing w:before="12"/>
              <w:rPr>
                <w:sz w:val="21"/>
              </w:rPr>
            </w:pPr>
            <w:r>
              <w:rPr>
                <w:spacing w:val="-4"/>
                <w:sz w:val="21"/>
              </w:rPr>
              <w:t>＜風しん＞</w:t>
            </w:r>
          </w:p>
          <w:p w:rsidR="002F4048" w:rsidRDefault="00C114DC" w:rsidP="002F4048">
            <w:pPr>
              <w:pStyle w:val="TableParagraph"/>
              <w:spacing w:before="15" w:line="259" w:lineRule="auto"/>
              <w:ind w:right="89"/>
              <w:rPr>
                <w:spacing w:val="-2"/>
                <w:sz w:val="20"/>
              </w:rPr>
            </w:pPr>
            <w:r>
              <w:rPr>
                <w:spacing w:val="-4"/>
                <w:sz w:val="20"/>
              </w:rPr>
              <w:t>風しんウイルスの飛沫感染によって起こります。潜伏期間は 2～3 週間です。軽いかぜ症状ではじまり、発疹、発熱、後頸部リンパ節腫脹などが主症状です。そのほか、眼球</w:t>
            </w:r>
            <w:r>
              <w:rPr>
                <w:sz w:val="20"/>
              </w:rPr>
              <w:t>結膜の充血もみられます。発疹も熱も約 3 日間で治るので「三日ばしか」とも呼ばれ</w:t>
            </w:r>
            <w:r>
              <w:rPr>
                <w:spacing w:val="-4"/>
                <w:sz w:val="20"/>
              </w:rPr>
              <w:t>ることがあります。合併症として、関節痛、血小板減少性紫斑病、脳炎などが報告されています。大人になってからかかると重症になります。妊婦が妊娠初期にかかると、先天性風疹症候群と呼ばれる病気により心臓病、白内障、聴力障害などの障害を持った児</w:t>
            </w:r>
            <w:r>
              <w:rPr>
                <w:spacing w:val="-2"/>
                <w:sz w:val="20"/>
              </w:rPr>
              <w:t>が生まれる可能性が高くなります。</w:t>
            </w:r>
          </w:p>
          <w:p w:rsidR="002F4048" w:rsidRPr="002F4048" w:rsidRDefault="002F4048" w:rsidP="002F4048">
            <w:pPr>
              <w:pStyle w:val="TableParagraph"/>
              <w:spacing w:before="15" w:line="259" w:lineRule="auto"/>
              <w:ind w:right="89"/>
              <w:rPr>
                <w:b/>
                <w:bCs/>
                <w:color w:val="FF0000"/>
                <w:spacing w:val="-2"/>
                <w:sz w:val="20"/>
              </w:rPr>
            </w:pPr>
            <w:r w:rsidRPr="002F4048">
              <w:rPr>
                <w:rFonts w:hint="eastAsia"/>
                <w:b/>
                <w:bCs/>
                <w:color w:val="FF0000"/>
                <w:spacing w:val="-2"/>
                <w:sz w:val="20"/>
              </w:rPr>
              <w:t>予防接種の効果</w:t>
            </w:r>
          </w:p>
          <w:p w:rsidR="002F4048" w:rsidRPr="002F4048" w:rsidRDefault="002F4048" w:rsidP="002F4048">
            <w:pPr>
              <w:pStyle w:val="TableParagraph"/>
              <w:spacing w:before="15" w:line="259" w:lineRule="auto"/>
              <w:ind w:right="89"/>
              <w:rPr>
                <w:rFonts w:hint="eastAsia"/>
                <w:spacing w:val="-2"/>
                <w:sz w:val="20"/>
              </w:rPr>
            </w:pPr>
            <w:r w:rsidRPr="002F4048">
              <w:rPr>
                <w:rFonts w:hint="eastAsia"/>
                <w:spacing w:val="-2"/>
                <w:sz w:val="20"/>
              </w:rPr>
              <w:t>麻しん・風しん予防接種は、麻しん・風しん混合ワクチンを用い、第1期と第2期の2回を接種することにより感染を防ぐ予防接種です。特に希望する方は単独のワクチンを接種することができます。</w:t>
            </w:r>
          </w:p>
          <w:p w:rsidR="002F4048" w:rsidRPr="002F4048" w:rsidRDefault="002F4048" w:rsidP="002F4048">
            <w:pPr>
              <w:pStyle w:val="TableParagraph"/>
              <w:spacing w:before="15" w:line="259" w:lineRule="auto"/>
              <w:ind w:right="89"/>
              <w:rPr>
                <w:rFonts w:hint="eastAsia"/>
                <w:spacing w:val="-2"/>
                <w:sz w:val="20"/>
              </w:rPr>
            </w:pPr>
            <w:r w:rsidRPr="002F4048">
              <w:rPr>
                <w:rFonts w:hint="eastAsia"/>
                <w:spacing w:val="-2"/>
                <w:sz w:val="20"/>
              </w:rPr>
              <w:t>麻しん・風しん予防接種を受けたお子様のうち、95％以上が免疫を獲得することができます。体内に免疫ができると、麻しんや風しんにかかることを防ぐことができます。2回接種することでより強固な免疫が獲得できます。</w:t>
            </w:r>
            <w:r w:rsidRPr="002F4048">
              <w:rPr>
                <w:rFonts w:hint="eastAsia"/>
                <w:spacing w:val="-2"/>
                <w:sz w:val="20"/>
              </w:rPr>
              <w:br/>
              <w:t>予防接種は流行を防ぐ、助けあいでもあります。まだ接種していないお子さんは、麻しん風しんに「かからない」「うつさない」ために、麻しん風しん混合ワクチンの予防接種を受けましょう。</w:t>
            </w:r>
          </w:p>
          <w:p w:rsidR="00340985" w:rsidRPr="002F4048" w:rsidRDefault="00340985">
            <w:pPr>
              <w:pStyle w:val="TableParagraph"/>
              <w:spacing w:before="15" w:line="259" w:lineRule="auto"/>
              <w:ind w:right="89"/>
              <w:rPr>
                <w:sz w:val="20"/>
              </w:rPr>
            </w:pPr>
          </w:p>
        </w:tc>
      </w:tr>
      <w:tr w:rsidR="00340985">
        <w:trPr>
          <w:trHeight w:val="1079"/>
        </w:trPr>
        <w:tc>
          <w:tcPr>
            <w:tcW w:w="1899" w:type="dxa"/>
          </w:tcPr>
          <w:p w:rsidR="00340985" w:rsidRDefault="00C114DC">
            <w:pPr>
              <w:pStyle w:val="TableParagraph"/>
              <w:spacing w:before="35"/>
            </w:pPr>
            <w:r>
              <w:rPr>
                <w:spacing w:val="-3"/>
              </w:rPr>
              <w:t>接種回数</w:t>
            </w:r>
          </w:p>
        </w:tc>
        <w:tc>
          <w:tcPr>
            <w:tcW w:w="7922" w:type="dxa"/>
          </w:tcPr>
          <w:p w:rsidR="00340985" w:rsidRDefault="00C114DC">
            <w:pPr>
              <w:pStyle w:val="TableParagraph"/>
              <w:tabs>
                <w:tab w:val="left" w:pos="853"/>
                <w:tab w:val="left" w:pos="3914"/>
              </w:tabs>
              <w:spacing w:before="39"/>
              <w:rPr>
                <w:sz w:val="16"/>
              </w:rPr>
            </w:pPr>
            <w:r>
              <w:rPr>
                <w:position w:val="9"/>
                <w:sz w:val="21"/>
              </w:rPr>
              <w:t>２</w:t>
            </w:r>
            <w:r>
              <w:rPr>
                <w:spacing w:val="-10"/>
                <w:position w:val="9"/>
                <w:sz w:val="21"/>
              </w:rPr>
              <w:t>回</w:t>
            </w:r>
            <w:r>
              <w:rPr>
                <w:position w:val="9"/>
                <w:sz w:val="21"/>
              </w:rPr>
              <w:tab/>
            </w:r>
            <w:r>
              <w:rPr>
                <w:spacing w:val="-2"/>
                <w:sz w:val="16"/>
              </w:rPr>
              <w:t>1</w:t>
            </w:r>
            <w:r>
              <w:rPr>
                <w:spacing w:val="-11"/>
                <w:sz w:val="16"/>
              </w:rPr>
              <w:t xml:space="preserve"> </w:t>
            </w:r>
            <w:r>
              <w:rPr>
                <w:spacing w:val="-2"/>
                <w:sz w:val="16"/>
              </w:rPr>
              <w:t>歳から</w:t>
            </w:r>
            <w:r>
              <w:rPr>
                <w:spacing w:val="-11"/>
                <w:sz w:val="16"/>
              </w:rPr>
              <w:t xml:space="preserve"> </w:t>
            </w:r>
            <w:r>
              <w:rPr>
                <w:spacing w:val="-2"/>
                <w:sz w:val="16"/>
              </w:rPr>
              <w:t>2</w:t>
            </w:r>
            <w:r>
              <w:rPr>
                <w:spacing w:val="-8"/>
                <w:sz w:val="16"/>
              </w:rPr>
              <w:t xml:space="preserve"> </w:t>
            </w:r>
            <w:r>
              <w:rPr>
                <w:spacing w:val="-2"/>
                <w:sz w:val="16"/>
              </w:rPr>
              <w:t>歳に至るま</w:t>
            </w:r>
            <w:r>
              <w:rPr>
                <w:spacing w:val="-10"/>
                <w:sz w:val="16"/>
              </w:rPr>
              <w:t>で</w:t>
            </w:r>
            <w:r>
              <w:rPr>
                <w:sz w:val="16"/>
              </w:rPr>
              <w:tab/>
            </w:r>
            <w:r>
              <w:rPr>
                <w:spacing w:val="-2"/>
                <w:sz w:val="16"/>
              </w:rPr>
              <w:t>小学校就学前</w:t>
            </w:r>
            <w:r>
              <w:rPr>
                <w:spacing w:val="-13"/>
                <w:sz w:val="16"/>
              </w:rPr>
              <w:t xml:space="preserve"> </w:t>
            </w:r>
            <w:r>
              <w:rPr>
                <w:spacing w:val="-2"/>
                <w:sz w:val="16"/>
              </w:rPr>
              <w:t>1</w:t>
            </w:r>
            <w:r>
              <w:rPr>
                <w:spacing w:val="-6"/>
                <w:sz w:val="16"/>
              </w:rPr>
              <w:t xml:space="preserve"> </w:t>
            </w:r>
            <w:r>
              <w:rPr>
                <w:spacing w:val="-2"/>
                <w:sz w:val="16"/>
              </w:rPr>
              <w:t>年</w:t>
            </w:r>
            <w:r>
              <w:rPr>
                <w:spacing w:val="-10"/>
                <w:sz w:val="16"/>
              </w:rPr>
              <w:t>間</w:t>
            </w:r>
          </w:p>
          <w:p w:rsidR="00340985" w:rsidRDefault="00C114DC">
            <w:pPr>
              <w:pStyle w:val="TableParagraph"/>
              <w:tabs>
                <w:tab w:val="left" w:pos="4116"/>
              </w:tabs>
              <w:spacing w:before="147"/>
              <w:ind w:left="1056"/>
              <w:rPr>
                <w:sz w:val="20"/>
              </w:rPr>
            </w:pPr>
            <w:r>
              <w:rPr>
                <w:noProof/>
              </w:rPr>
              <mc:AlternateContent>
                <mc:Choice Requires="wpg">
                  <w:drawing>
                    <wp:anchor distT="0" distB="0" distL="0" distR="0" simplePos="0" relativeHeight="487534592" behindDoc="1" locked="0" layoutInCell="1" allowOverlap="1">
                      <wp:simplePos x="0" y="0"/>
                      <wp:positionH relativeFrom="column">
                        <wp:posOffset>577024</wp:posOffset>
                      </wp:positionH>
                      <wp:positionV relativeFrom="paragraph">
                        <wp:posOffset>33813</wp:posOffset>
                      </wp:positionV>
                      <wp:extent cx="1832610" cy="2952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2610" cy="295275"/>
                                <a:chOff x="0" y="0"/>
                                <a:chExt cx="1832610" cy="295275"/>
                              </a:xfrm>
                            </wpg:grpSpPr>
                            <wps:wsp>
                              <wps:cNvPr id="2" name="Graphic 2"/>
                              <wps:cNvSpPr/>
                              <wps:spPr>
                                <a:xfrm>
                                  <a:off x="4762" y="4762"/>
                                  <a:ext cx="914400" cy="285750"/>
                                </a:xfrm>
                                <a:custGeom>
                                  <a:avLst/>
                                  <a:gdLst/>
                                  <a:ahLst/>
                                  <a:cxnLst/>
                                  <a:rect l="l" t="t" r="r" b="b"/>
                                  <a:pathLst>
                                    <a:path w="914400"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878713" y="285750"/>
                                      </a:lnTo>
                                      <a:lnTo>
                                        <a:pt x="892593" y="282942"/>
                                      </a:lnTo>
                                      <a:lnTo>
                                        <a:pt x="903938" y="275288"/>
                                      </a:lnTo>
                                      <a:lnTo>
                                        <a:pt x="911592" y="263943"/>
                                      </a:lnTo>
                                      <a:lnTo>
                                        <a:pt x="914400" y="250063"/>
                                      </a:lnTo>
                                      <a:lnTo>
                                        <a:pt x="914400" y="35687"/>
                                      </a:lnTo>
                                      <a:lnTo>
                                        <a:pt x="911592" y="21806"/>
                                      </a:lnTo>
                                      <a:lnTo>
                                        <a:pt x="903938" y="10461"/>
                                      </a:lnTo>
                                      <a:lnTo>
                                        <a:pt x="892593" y="2807"/>
                                      </a:lnTo>
                                      <a:lnTo>
                                        <a:pt x="878713" y="0"/>
                                      </a:lnTo>
                                      <a:lnTo>
                                        <a:pt x="35687" y="0"/>
                                      </a:lnTo>
                                      <a:close/>
                                    </a:path>
                                  </a:pathLst>
                                </a:custGeom>
                                <a:ln w="9525">
                                  <a:solidFill>
                                    <a:srgbClr val="000000"/>
                                  </a:solidFill>
                                  <a:prstDash val="solid"/>
                                </a:ln>
                              </wps:spPr>
                              <wps:bodyPr wrap="square" lIns="0" tIns="0" rIns="0" bIns="0" rtlCol="0">
                                <a:prstTxWarp prst="textNoShape">
                                  <a:avLst/>
                                </a:prstTxWarp>
                                <a:noAutofit/>
                              </wps:bodyPr>
                            </wps:wsp>
                            <wps:wsp>
                              <wps:cNvPr id="3" name="Graphic 3"/>
                              <wps:cNvSpPr/>
                              <wps:spPr>
                                <a:xfrm>
                                  <a:off x="917892" y="78422"/>
                                  <a:ext cx="914400" cy="76200"/>
                                </a:xfrm>
                                <a:custGeom>
                                  <a:avLst/>
                                  <a:gdLst/>
                                  <a:ahLst/>
                                  <a:cxnLst/>
                                  <a:rect l="l" t="t" r="r" b="b"/>
                                  <a:pathLst>
                                    <a:path w="914400" h="76200">
                                      <a:moveTo>
                                        <a:pt x="838200" y="0"/>
                                      </a:moveTo>
                                      <a:lnTo>
                                        <a:pt x="838200" y="76200"/>
                                      </a:lnTo>
                                      <a:lnTo>
                                        <a:pt x="901700" y="44450"/>
                                      </a:lnTo>
                                      <a:lnTo>
                                        <a:pt x="850900" y="44450"/>
                                      </a:lnTo>
                                      <a:lnTo>
                                        <a:pt x="850900" y="31750"/>
                                      </a:lnTo>
                                      <a:lnTo>
                                        <a:pt x="901700" y="31750"/>
                                      </a:lnTo>
                                      <a:lnTo>
                                        <a:pt x="838200" y="0"/>
                                      </a:lnTo>
                                      <a:close/>
                                    </a:path>
                                    <a:path w="914400" h="76200">
                                      <a:moveTo>
                                        <a:pt x="838200" y="31750"/>
                                      </a:moveTo>
                                      <a:lnTo>
                                        <a:pt x="0" y="31750"/>
                                      </a:lnTo>
                                      <a:lnTo>
                                        <a:pt x="0" y="44450"/>
                                      </a:lnTo>
                                      <a:lnTo>
                                        <a:pt x="838200" y="44450"/>
                                      </a:lnTo>
                                      <a:lnTo>
                                        <a:pt x="838200" y="31750"/>
                                      </a:lnTo>
                                      <a:close/>
                                    </a:path>
                                    <a:path w="914400" h="76200">
                                      <a:moveTo>
                                        <a:pt x="901700" y="31750"/>
                                      </a:moveTo>
                                      <a:lnTo>
                                        <a:pt x="850900" y="31750"/>
                                      </a:lnTo>
                                      <a:lnTo>
                                        <a:pt x="850900" y="44450"/>
                                      </a:lnTo>
                                      <a:lnTo>
                                        <a:pt x="901700" y="44450"/>
                                      </a:lnTo>
                                      <a:lnTo>
                                        <a:pt x="914400" y="38100"/>
                                      </a:lnTo>
                                      <a:lnTo>
                                        <a:pt x="90170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98A28D" id="Group 1" o:spid="_x0000_s1026" style="position:absolute;left:0;text-align:left;margin-left:45.45pt;margin-top:2.65pt;width:144.3pt;height:23.25pt;z-index:-15781888;mso-wrap-distance-left:0;mso-wrap-distance-right:0" coordsize="18326,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">
                      <v:shape id="Graphic 2" o:spid="_x0000_s1027" style="position:absolute;left:47;top:47;width:9144;height:2858;visibility:visible;mso-wrap-style:square;v-text-anchor:top" coordsize="914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" path="m35687,l21806,2807,10461,10461,2807,21806,,35687,,250063r2807,13880l10461,275288r11345,7654l35687,285750r843026,l892593,282942r11345,-7654l911592,263943r2808,-13880l914400,35687,911592,21806,903938,10461,892593,2807,878713,,35687,xe" filled="f">
                        <v:path arrowok="t"/>
                      </v:shape>
                      <v:shape id="Graphic 3" o:spid="_x0000_s1028" style="position:absolute;left:9178;top:784;width:9144;height:762;visibility:visible;mso-wrap-style:square;v-text-anchor:top" coordsize="914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" path="m838200,r,76200l901700,44450r-50800,l850900,31750r50800,l838200,xem838200,31750l,31750,,44450r838200,l838200,31750xem901700,31750r-50800,l850900,44450r50800,l914400,38100,901700,31750xe" fillcolor="black" stroked="f">
                        <v:path arrowok="t"/>
                      </v:shape>
                    </v:group>
                  </w:pict>
                </mc:Fallback>
              </mc:AlternateContent>
            </w:r>
            <w:r>
              <w:rPr>
                <w:noProof/>
              </w:rPr>
              <mc:AlternateContent>
                <mc:Choice Requires="wpg">
                  <w:drawing>
                    <wp:anchor distT="0" distB="0" distL="0" distR="0" simplePos="0" relativeHeight="487535104" behindDoc="1" locked="0" layoutInCell="1" allowOverlap="1">
                      <wp:simplePos x="0" y="0"/>
                      <wp:positionH relativeFrom="column">
                        <wp:posOffset>2520124</wp:posOffset>
                      </wp:positionH>
                      <wp:positionV relativeFrom="paragraph">
                        <wp:posOffset>33813</wp:posOffset>
                      </wp:positionV>
                      <wp:extent cx="923925" cy="2952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295275"/>
                                <a:chOff x="0" y="0"/>
                                <a:chExt cx="923925" cy="295275"/>
                              </a:xfrm>
                            </wpg:grpSpPr>
                            <wps:wsp>
                              <wps:cNvPr id="5" name="Graphic 5"/>
                              <wps:cNvSpPr/>
                              <wps:spPr>
                                <a:xfrm>
                                  <a:off x="4762" y="4762"/>
                                  <a:ext cx="914400" cy="285750"/>
                                </a:xfrm>
                                <a:custGeom>
                                  <a:avLst/>
                                  <a:gdLst/>
                                  <a:ahLst/>
                                  <a:cxnLst/>
                                  <a:rect l="l" t="t" r="r" b="b"/>
                                  <a:pathLst>
                                    <a:path w="914400" h="285750">
                                      <a:moveTo>
                                        <a:pt x="35687" y="0"/>
                                      </a:moveTo>
                                      <a:lnTo>
                                        <a:pt x="21806" y="2807"/>
                                      </a:lnTo>
                                      <a:lnTo>
                                        <a:pt x="10461" y="10461"/>
                                      </a:lnTo>
                                      <a:lnTo>
                                        <a:pt x="2807" y="21806"/>
                                      </a:lnTo>
                                      <a:lnTo>
                                        <a:pt x="0" y="35687"/>
                                      </a:lnTo>
                                      <a:lnTo>
                                        <a:pt x="0" y="250063"/>
                                      </a:lnTo>
                                      <a:lnTo>
                                        <a:pt x="2807" y="263943"/>
                                      </a:lnTo>
                                      <a:lnTo>
                                        <a:pt x="10461" y="275288"/>
                                      </a:lnTo>
                                      <a:lnTo>
                                        <a:pt x="21806" y="282942"/>
                                      </a:lnTo>
                                      <a:lnTo>
                                        <a:pt x="35687" y="285750"/>
                                      </a:lnTo>
                                      <a:lnTo>
                                        <a:pt x="878713" y="285750"/>
                                      </a:lnTo>
                                      <a:lnTo>
                                        <a:pt x="892593" y="282942"/>
                                      </a:lnTo>
                                      <a:lnTo>
                                        <a:pt x="903938" y="275288"/>
                                      </a:lnTo>
                                      <a:lnTo>
                                        <a:pt x="911592" y="263943"/>
                                      </a:lnTo>
                                      <a:lnTo>
                                        <a:pt x="914400" y="250063"/>
                                      </a:lnTo>
                                      <a:lnTo>
                                        <a:pt x="914400" y="35687"/>
                                      </a:lnTo>
                                      <a:lnTo>
                                        <a:pt x="911592" y="21806"/>
                                      </a:lnTo>
                                      <a:lnTo>
                                        <a:pt x="903938" y="10461"/>
                                      </a:lnTo>
                                      <a:lnTo>
                                        <a:pt x="892593" y="2807"/>
                                      </a:lnTo>
                                      <a:lnTo>
                                        <a:pt x="878713" y="0"/>
                                      </a:lnTo>
                                      <a:lnTo>
                                        <a:pt x="35687"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5D919" id="Group 4" o:spid="_x0000_s1026" style="position:absolute;left:0;text-align:left;margin-left:198.45pt;margin-top:2.65pt;width:72.75pt;height:23.25pt;z-index:-15781376;mso-wrap-distance-left:0;mso-wrap-distance-right:0" coordsize="9239,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">
                      <v:shape id="Graphic 5" o:spid="_x0000_s1027" style="position:absolute;left:47;top:47;width:9144;height:2858;visibility:visible;mso-wrap-style:square;v-text-anchor:top" coordsize="914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" path="m35687,l21806,2807,10461,10461,2807,21806,,35687,,250063r2807,13880l10461,275288r11345,7654l35687,285750r843026,l892593,282942r11345,-7654l911592,263943r2808,-13880l914400,35687,911592,21806,903938,10461,892593,2807,878713,,35687,xe" filled="f">
                        <v:path arrowok="t"/>
                      </v:shape>
                    </v:group>
                  </w:pict>
                </mc:Fallback>
              </mc:AlternateContent>
            </w:r>
            <w:r>
              <w:rPr>
                <w:spacing w:val="-2"/>
                <w:sz w:val="20"/>
              </w:rPr>
              <w:t>1</w:t>
            </w:r>
            <w:r>
              <w:rPr>
                <w:spacing w:val="-16"/>
                <w:sz w:val="20"/>
              </w:rPr>
              <w:t xml:space="preserve"> </w:t>
            </w:r>
            <w:r>
              <w:rPr>
                <w:spacing w:val="-2"/>
                <w:sz w:val="20"/>
              </w:rPr>
              <w:t>期：1</w:t>
            </w:r>
            <w:r>
              <w:rPr>
                <w:spacing w:val="-15"/>
                <w:sz w:val="20"/>
              </w:rPr>
              <w:t xml:space="preserve"> </w:t>
            </w:r>
            <w:r>
              <w:rPr>
                <w:spacing w:val="-10"/>
                <w:sz w:val="20"/>
              </w:rPr>
              <w:t>回</w:t>
            </w:r>
            <w:r>
              <w:rPr>
                <w:sz w:val="20"/>
              </w:rPr>
              <w:tab/>
            </w:r>
            <w:r>
              <w:rPr>
                <w:spacing w:val="-2"/>
                <w:sz w:val="20"/>
              </w:rPr>
              <w:t>２期：1</w:t>
            </w:r>
            <w:r>
              <w:rPr>
                <w:spacing w:val="-16"/>
                <w:sz w:val="20"/>
              </w:rPr>
              <w:t xml:space="preserve"> </w:t>
            </w:r>
            <w:r>
              <w:rPr>
                <w:spacing w:val="-10"/>
                <w:sz w:val="20"/>
              </w:rPr>
              <w:t>回</w:t>
            </w:r>
          </w:p>
        </w:tc>
      </w:tr>
      <w:tr w:rsidR="00340985">
        <w:trPr>
          <w:trHeight w:val="360"/>
        </w:trPr>
        <w:tc>
          <w:tcPr>
            <w:tcW w:w="1899" w:type="dxa"/>
          </w:tcPr>
          <w:p w:rsidR="00340985" w:rsidRDefault="00C114DC">
            <w:pPr>
              <w:pStyle w:val="TableParagraph"/>
              <w:spacing w:before="35"/>
            </w:pPr>
            <w:r>
              <w:rPr>
                <w:spacing w:val="-3"/>
              </w:rPr>
              <w:t>実施時期</w:t>
            </w:r>
          </w:p>
        </w:tc>
        <w:tc>
          <w:tcPr>
            <w:tcW w:w="7922" w:type="dxa"/>
          </w:tcPr>
          <w:p w:rsidR="00340985" w:rsidRDefault="00C114DC">
            <w:pPr>
              <w:pStyle w:val="TableParagraph"/>
              <w:spacing w:before="42"/>
              <w:rPr>
                <w:sz w:val="21"/>
              </w:rPr>
            </w:pPr>
            <w:r>
              <w:rPr>
                <w:spacing w:val="-4"/>
                <w:sz w:val="21"/>
              </w:rPr>
              <w:t>年間通して実施</w:t>
            </w:r>
          </w:p>
        </w:tc>
      </w:tr>
      <w:tr w:rsidR="00340985">
        <w:trPr>
          <w:trHeight w:val="359"/>
        </w:trPr>
        <w:tc>
          <w:tcPr>
            <w:tcW w:w="1899" w:type="dxa"/>
          </w:tcPr>
          <w:p w:rsidR="00340985" w:rsidRDefault="00C114DC">
            <w:pPr>
              <w:pStyle w:val="TableParagraph"/>
              <w:spacing w:before="35"/>
            </w:pPr>
            <w:r>
              <w:rPr>
                <w:spacing w:val="-3"/>
              </w:rPr>
              <w:t>実施場所</w:t>
            </w:r>
          </w:p>
        </w:tc>
        <w:tc>
          <w:tcPr>
            <w:tcW w:w="7922" w:type="dxa"/>
          </w:tcPr>
          <w:p w:rsidR="00340985" w:rsidRDefault="00C114DC">
            <w:pPr>
              <w:pStyle w:val="TableParagraph"/>
              <w:spacing w:before="42"/>
              <w:rPr>
                <w:sz w:val="21"/>
              </w:rPr>
            </w:pPr>
            <w:r>
              <w:rPr>
                <w:spacing w:val="-3"/>
                <w:sz w:val="21"/>
              </w:rPr>
              <w:t>個別予防接種実施医療機関</w:t>
            </w:r>
          </w:p>
        </w:tc>
      </w:tr>
      <w:tr w:rsidR="00340985">
        <w:trPr>
          <w:trHeight w:val="1763"/>
        </w:trPr>
        <w:tc>
          <w:tcPr>
            <w:tcW w:w="1899" w:type="dxa"/>
          </w:tcPr>
          <w:p w:rsidR="00340985" w:rsidRDefault="00C114DC">
            <w:pPr>
              <w:pStyle w:val="TableParagraph"/>
              <w:spacing w:before="37"/>
            </w:pPr>
            <w:r>
              <w:rPr>
                <w:spacing w:val="-3"/>
              </w:rPr>
              <w:t>注意事項</w:t>
            </w:r>
          </w:p>
        </w:tc>
        <w:tc>
          <w:tcPr>
            <w:tcW w:w="7922" w:type="dxa"/>
          </w:tcPr>
          <w:p w:rsidR="00340985" w:rsidRDefault="00C114DC">
            <w:pPr>
              <w:pStyle w:val="TableParagraph"/>
              <w:numPr>
                <w:ilvl w:val="0"/>
                <w:numId w:val="1"/>
              </w:numPr>
              <w:tabs>
                <w:tab w:val="left" w:pos="458"/>
              </w:tabs>
              <w:ind w:right="90"/>
              <w:jc w:val="both"/>
              <w:rPr>
                <w:sz w:val="16"/>
              </w:rPr>
            </w:pPr>
            <w:r>
              <w:rPr>
                <w:spacing w:val="-2"/>
                <w:sz w:val="21"/>
              </w:rPr>
              <w:t>ガンマグロブリン製剤の注射を受けたことがあるお子さんについての接種時期</w:t>
            </w:r>
            <w:r>
              <w:rPr>
                <w:spacing w:val="-7"/>
                <w:sz w:val="21"/>
              </w:rPr>
              <w:t>については、かかりつけ医と相談して下さい。</w:t>
            </w:r>
            <w:r>
              <w:rPr>
                <w:spacing w:val="-2"/>
                <w:sz w:val="16"/>
              </w:rPr>
              <w:t>（</w:t>
            </w:r>
            <w:r>
              <w:rPr>
                <w:spacing w:val="-3"/>
                <w:sz w:val="16"/>
              </w:rPr>
              <w:t xml:space="preserve">ガンマグロブリンは血液製剤の一種で </w:t>
            </w:r>
            <w:r>
              <w:rPr>
                <w:spacing w:val="-2"/>
                <w:sz w:val="16"/>
              </w:rPr>
              <w:t>A</w:t>
            </w:r>
            <w:r>
              <w:rPr>
                <w:spacing w:val="-4"/>
                <w:sz w:val="16"/>
              </w:rPr>
              <w:t>型肝炎等の感染症の予防目的や重症の感染症の治療目的などで注射することがあります。</w:t>
            </w:r>
            <w:r>
              <w:rPr>
                <w:spacing w:val="-2"/>
                <w:sz w:val="16"/>
              </w:rPr>
              <w:t>）</w:t>
            </w:r>
          </w:p>
          <w:p w:rsidR="00340985" w:rsidRDefault="00C114DC">
            <w:pPr>
              <w:pStyle w:val="TableParagraph"/>
              <w:numPr>
                <w:ilvl w:val="0"/>
                <w:numId w:val="1"/>
              </w:numPr>
              <w:tabs>
                <w:tab w:val="left" w:pos="457"/>
              </w:tabs>
              <w:spacing w:line="269" w:lineRule="exact"/>
              <w:ind w:left="457" w:hanging="359"/>
              <w:jc w:val="both"/>
              <w:rPr>
                <w:sz w:val="21"/>
              </w:rPr>
            </w:pPr>
            <w:r>
              <w:rPr>
                <w:spacing w:val="-3"/>
                <w:sz w:val="21"/>
              </w:rPr>
              <w:t>妊娠していることが明らかな人は接種ができません。</w:t>
            </w:r>
          </w:p>
          <w:p w:rsidR="00340985" w:rsidRDefault="00C114DC">
            <w:pPr>
              <w:pStyle w:val="TableParagraph"/>
              <w:numPr>
                <w:ilvl w:val="0"/>
                <w:numId w:val="1"/>
              </w:numPr>
              <w:tabs>
                <w:tab w:val="left" w:pos="458"/>
              </w:tabs>
              <w:ind w:right="94"/>
              <w:jc w:val="both"/>
              <w:rPr>
                <w:sz w:val="21"/>
              </w:rPr>
            </w:pPr>
            <w:r>
              <w:rPr>
                <w:spacing w:val="-2"/>
                <w:sz w:val="21"/>
              </w:rPr>
              <w:t>麻しん又は風しんのいずれかにかかった者にも、麻しん風しん混合ワクチンを使用することが可能とされています。</w:t>
            </w:r>
          </w:p>
        </w:tc>
      </w:tr>
      <w:tr w:rsidR="00340985">
        <w:trPr>
          <w:trHeight w:val="1406"/>
        </w:trPr>
        <w:tc>
          <w:tcPr>
            <w:tcW w:w="1899" w:type="dxa"/>
          </w:tcPr>
          <w:p w:rsidR="00340985" w:rsidRDefault="00C114DC">
            <w:pPr>
              <w:pStyle w:val="TableParagraph"/>
              <w:spacing w:before="35"/>
            </w:pPr>
            <w:r>
              <w:rPr>
                <w:spacing w:val="-4"/>
              </w:rPr>
              <w:t>副反応</w:t>
            </w:r>
          </w:p>
        </w:tc>
        <w:tc>
          <w:tcPr>
            <w:tcW w:w="7922" w:type="dxa"/>
          </w:tcPr>
          <w:p w:rsidR="00340985" w:rsidRDefault="00C114DC">
            <w:pPr>
              <w:pStyle w:val="TableParagraph"/>
              <w:ind w:right="91"/>
              <w:jc w:val="both"/>
              <w:rPr>
                <w:sz w:val="20"/>
              </w:rPr>
            </w:pPr>
            <w:r>
              <w:rPr>
                <w:spacing w:val="-4"/>
                <w:sz w:val="20"/>
              </w:rPr>
              <w:t>副反応の主なものは、発熱と発疹です。他の副反応として、注射部位の発赤・腫脹（は</w:t>
            </w:r>
            <w:r>
              <w:rPr>
                <w:spacing w:val="-2"/>
                <w:sz w:val="20"/>
              </w:rPr>
              <w:t>れ</w:t>
            </w:r>
            <w:r>
              <w:rPr>
                <w:spacing w:val="-101"/>
                <w:sz w:val="20"/>
              </w:rPr>
              <w:t>）</w:t>
            </w:r>
            <w:r>
              <w:rPr>
                <w:spacing w:val="-2"/>
                <w:sz w:val="20"/>
              </w:rPr>
              <w:t>、硬結（しこり）などの局所反応、じんましん、リンパ節腫脹、関節痛、熱性けい</w:t>
            </w:r>
            <w:r>
              <w:rPr>
                <w:spacing w:val="-4"/>
                <w:sz w:val="20"/>
              </w:rPr>
              <w:t>れんなどがみられます。これまでの麻しんワクチン、風しんワクチンの副反応のデータからアナフィラキシー、血小板減少性紫斑病、脳炎、けいれんなどの副反応がまれに生</w:t>
            </w:r>
            <w:r>
              <w:rPr>
                <w:spacing w:val="-2"/>
                <w:sz w:val="20"/>
              </w:rPr>
              <w:t>じる可能性もあります。</w:t>
            </w:r>
          </w:p>
        </w:tc>
      </w:tr>
    </w:tbl>
    <w:p w:rsidR="009F165C" w:rsidRDefault="009F165C">
      <w:bookmarkStart w:id="0" w:name="_GoBack"/>
      <w:bookmarkEnd w:id="0"/>
    </w:p>
    <w:sectPr w:rsidR="009F165C">
      <w:type w:val="continuous"/>
      <w:pgSz w:w="11910" w:h="16840"/>
      <w:pgMar w:top="260" w:right="10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048" w:rsidRDefault="002F4048" w:rsidP="002F4048">
      <w:r>
        <w:separator/>
      </w:r>
    </w:p>
  </w:endnote>
  <w:endnote w:type="continuationSeparator" w:id="0">
    <w:p w:rsidR="002F4048" w:rsidRDefault="002F4048" w:rsidP="002F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048" w:rsidRDefault="002F4048" w:rsidP="002F4048">
      <w:r>
        <w:separator/>
      </w:r>
    </w:p>
  </w:footnote>
  <w:footnote w:type="continuationSeparator" w:id="0">
    <w:p w:rsidR="002F4048" w:rsidRDefault="002F4048" w:rsidP="002F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7DDA"/>
    <w:multiLevelType w:val="hybridMultilevel"/>
    <w:tmpl w:val="D52478CA"/>
    <w:lvl w:ilvl="0" w:tplc="69566904">
      <w:start w:val="1"/>
      <w:numFmt w:val="decimal"/>
      <w:lvlText w:val="%1"/>
      <w:lvlJc w:val="left"/>
      <w:pPr>
        <w:ind w:left="306" w:hanging="209"/>
        <w:jc w:val="left"/>
      </w:pPr>
      <w:rPr>
        <w:rFonts w:ascii="HG丸ｺﾞｼｯｸM-PRO" w:eastAsia="HG丸ｺﾞｼｯｸM-PRO" w:hAnsi="HG丸ｺﾞｼｯｸM-PRO" w:cs="HG丸ｺﾞｼｯｸM-PRO" w:hint="default"/>
        <w:b w:val="0"/>
        <w:bCs w:val="0"/>
        <w:i w:val="0"/>
        <w:iCs w:val="0"/>
        <w:spacing w:val="0"/>
        <w:w w:val="100"/>
        <w:sz w:val="21"/>
        <w:szCs w:val="21"/>
        <w:lang w:val="en-US" w:eastAsia="ja-JP" w:bidi="ar-SA"/>
      </w:rPr>
    </w:lvl>
    <w:lvl w:ilvl="1" w:tplc="331AF494">
      <w:numFmt w:val="bullet"/>
      <w:lvlText w:val="•"/>
      <w:lvlJc w:val="left"/>
      <w:pPr>
        <w:ind w:left="1061" w:hanging="209"/>
      </w:pPr>
      <w:rPr>
        <w:rFonts w:hint="default"/>
        <w:lang w:val="en-US" w:eastAsia="ja-JP" w:bidi="ar-SA"/>
      </w:rPr>
    </w:lvl>
    <w:lvl w:ilvl="2" w:tplc="6D6EB4B8">
      <w:numFmt w:val="bullet"/>
      <w:lvlText w:val="•"/>
      <w:lvlJc w:val="left"/>
      <w:pPr>
        <w:ind w:left="1822" w:hanging="209"/>
      </w:pPr>
      <w:rPr>
        <w:rFonts w:hint="default"/>
        <w:lang w:val="en-US" w:eastAsia="ja-JP" w:bidi="ar-SA"/>
      </w:rPr>
    </w:lvl>
    <w:lvl w:ilvl="3" w:tplc="73B69C3A">
      <w:numFmt w:val="bullet"/>
      <w:lvlText w:val="•"/>
      <w:lvlJc w:val="left"/>
      <w:pPr>
        <w:ind w:left="2583" w:hanging="209"/>
      </w:pPr>
      <w:rPr>
        <w:rFonts w:hint="default"/>
        <w:lang w:val="en-US" w:eastAsia="ja-JP" w:bidi="ar-SA"/>
      </w:rPr>
    </w:lvl>
    <w:lvl w:ilvl="4" w:tplc="C690270C">
      <w:numFmt w:val="bullet"/>
      <w:lvlText w:val="•"/>
      <w:lvlJc w:val="left"/>
      <w:pPr>
        <w:ind w:left="3344" w:hanging="209"/>
      </w:pPr>
      <w:rPr>
        <w:rFonts w:hint="default"/>
        <w:lang w:val="en-US" w:eastAsia="ja-JP" w:bidi="ar-SA"/>
      </w:rPr>
    </w:lvl>
    <w:lvl w:ilvl="5" w:tplc="4C4A3D58">
      <w:numFmt w:val="bullet"/>
      <w:lvlText w:val="•"/>
      <w:lvlJc w:val="left"/>
      <w:pPr>
        <w:ind w:left="4106" w:hanging="209"/>
      </w:pPr>
      <w:rPr>
        <w:rFonts w:hint="default"/>
        <w:lang w:val="en-US" w:eastAsia="ja-JP" w:bidi="ar-SA"/>
      </w:rPr>
    </w:lvl>
    <w:lvl w:ilvl="6" w:tplc="BA3ACD22">
      <w:numFmt w:val="bullet"/>
      <w:lvlText w:val="•"/>
      <w:lvlJc w:val="left"/>
      <w:pPr>
        <w:ind w:left="4867" w:hanging="209"/>
      </w:pPr>
      <w:rPr>
        <w:rFonts w:hint="default"/>
        <w:lang w:val="en-US" w:eastAsia="ja-JP" w:bidi="ar-SA"/>
      </w:rPr>
    </w:lvl>
    <w:lvl w:ilvl="7" w:tplc="49F0F7C6">
      <w:numFmt w:val="bullet"/>
      <w:lvlText w:val="•"/>
      <w:lvlJc w:val="left"/>
      <w:pPr>
        <w:ind w:left="5628" w:hanging="209"/>
      </w:pPr>
      <w:rPr>
        <w:rFonts w:hint="default"/>
        <w:lang w:val="en-US" w:eastAsia="ja-JP" w:bidi="ar-SA"/>
      </w:rPr>
    </w:lvl>
    <w:lvl w:ilvl="8" w:tplc="17DA43C8">
      <w:numFmt w:val="bullet"/>
      <w:lvlText w:val="•"/>
      <w:lvlJc w:val="left"/>
      <w:pPr>
        <w:ind w:left="6389" w:hanging="209"/>
      </w:pPr>
      <w:rPr>
        <w:rFonts w:hint="default"/>
        <w:lang w:val="en-US" w:eastAsia="ja-JP" w:bidi="ar-SA"/>
      </w:rPr>
    </w:lvl>
  </w:abstractNum>
  <w:abstractNum w:abstractNumId="1" w15:restartNumberingAfterBreak="0">
    <w:nsid w:val="5B66207A"/>
    <w:multiLevelType w:val="hybridMultilevel"/>
    <w:tmpl w:val="2A0EB824"/>
    <w:lvl w:ilvl="0" w:tplc="E54E6C6C">
      <w:numFmt w:val="bullet"/>
      <w:lvlText w:val="•"/>
      <w:lvlJc w:val="left"/>
      <w:pPr>
        <w:ind w:left="458" w:hanging="360"/>
      </w:pPr>
      <w:rPr>
        <w:rFonts w:ascii="HG丸ｺﾞｼｯｸM-PRO" w:eastAsia="HG丸ｺﾞｼｯｸM-PRO" w:hAnsi="HG丸ｺﾞｼｯｸM-PRO" w:cs="HG丸ｺﾞｼｯｸM-PRO" w:hint="default"/>
        <w:b w:val="0"/>
        <w:bCs w:val="0"/>
        <w:i w:val="0"/>
        <w:iCs w:val="0"/>
        <w:spacing w:val="0"/>
        <w:w w:val="99"/>
        <w:sz w:val="20"/>
        <w:szCs w:val="20"/>
        <w:lang w:val="en-US" w:eastAsia="ja-JP" w:bidi="ar-SA"/>
      </w:rPr>
    </w:lvl>
    <w:lvl w:ilvl="1" w:tplc="09C89B04">
      <w:numFmt w:val="bullet"/>
      <w:lvlText w:val="•"/>
      <w:lvlJc w:val="left"/>
      <w:pPr>
        <w:ind w:left="1205" w:hanging="360"/>
      </w:pPr>
      <w:rPr>
        <w:rFonts w:hint="default"/>
        <w:lang w:val="en-US" w:eastAsia="ja-JP" w:bidi="ar-SA"/>
      </w:rPr>
    </w:lvl>
    <w:lvl w:ilvl="2" w:tplc="89D2CF52">
      <w:numFmt w:val="bullet"/>
      <w:lvlText w:val="•"/>
      <w:lvlJc w:val="left"/>
      <w:pPr>
        <w:ind w:left="1950" w:hanging="360"/>
      </w:pPr>
      <w:rPr>
        <w:rFonts w:hint="default"/>
        <w:lang w:val="en-US" w:eastAsia="ja-JP" w:bidi="ar-SA"/>
      </w:rPr>
    </w:lvl>
    <w:lvl w:ilvl="3" w:tplc="F6548570">
      <w:numFmt w:val="bullet"/>
      <w:lvlText w:val="•"/>
      <w:lvlJc w:val="left"/>
      <w:pPr>
        <w:ind w:left="2695" w:hanging="360"/>
      </w:pPr>
      <w:rPr>
        <w:rFonts w:hint="default"/>
        <w:lang w:val="en-US" w:eastAsia="ja-JP" w:bidi="ar-SA"/>
      </w:rPr>
    </w:lvl>
    <w:lvl w:ilvl="4" w:tplc="8B7CA634">
      <w:numFmt w:val="bullet"/>
      <w:lvlText w:val="•"/>
      <w:lvlJc w:val="left"/>
      <w:pPr>
        <w:ind w:left="3440" w:hanging="360"/>
      </w:pPr>
      <w:rPr>
        <w:rFonts w:hint="default"/>
        <w:lang w:val="en-US" w:eastAsia="ja-JP" w:bidi="ar-SA"/>
      </w:rPr>
    </w:lvl>
    <w:lvl w:ilvl="5" w:tplc="8598A338">
      <w:numFmt w:val="bullet"/>
      <w:lvlText w:val="•"/>
      <w:lvlJc w:val="left"/>
      <w:pPr>
        <w:ind w:left="4186" w:hanging="360"/>
      </w:pPr>
      <w:rPr>
        <w:rFonts w:hint="default"/>
        <w:lang w:val="en-US" w:eastAsia="ja-JP" w:bidi="ar-SA"/>
      </w:rPr>
    </w:lvl>
    <w:lvl w:ilvl="6" w:tplc="1BFE3594">
      <w:numFmt w:val="bullet"/>
      <w:lvlText w:val="•"/>
      <w:lvlJc w:val="left"/>
      <w:pPr>
        <w:ind w:left="4931" w:hanging="360"/>
      </w:pPr>
      <w:rPr>
        <w:rFonts w:hint="default"/>
        <w:lang w:val="en-US" w:eastAsia="ja-JP" w:bidi="ar-SA"/>
      </w:rPr>
    </w:lvl>
    <w:lvl w:ilvl="7" w:tplc="C6B46460">
      <w:numFmt w:val="bullet"/>
      <w:lvlText w:val="•"/>
      <w:lvlJc w:val="left"/>
      <w:pPr>
        <w:ind w:left="5676" w:hanging="360"/>
      </w:pPr>
      <w:rPr>
        <w:rFonts w:hint="default"/>
        <w:lang w:val="en-US" w:eastAsia="ja-JP" w:bidi="ar-SA"/>
      </w:rPr>
    </w:lvl>
    <w:lvl w:ilvl="8" w:tplc="1200CF66">
      <w:numFmt w:val="bullet"/>
      <w:lvlText w:val="•"/>
      <w:lvlJc w:val="left"/>
      <w:pPr>
        <w:ind w:left="6421" w:hanging="360"/>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85"/>
    <w:rsid w:val="002F4048"/>
    <w:rsid w:val="00340985"/>
    <w:rsid w:val="009F165C"/>
    <w:rsid w:val="00C1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B5F28"/>
  <w15:docId w15:val="{B5185997-BF42-48E6-8831-F271EB95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paragraph" w:styleId="2">
    <w:name w:val="heading 2"/>
    <w:basedOn w:val="a"/>
    <w:next w:val="a"/>
    <w:link w:val="20"/>
    <w:uiPriority w:val="9"/>
    <w:semiHidden/>
    <w:unhideWhenUsed/>
    <w:qFormat/>
    <w:rsid w:val="002F4048"/>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98"/>
    </w:pPr>
  </w:style>
  <w:style w:type="paragraph" w:styleId="a5">
    <w:name w:val="header"/>
    <w:basedOn w:val="a"/>
    <w:link w:val="a6"/>
    <w:uiPriority w:val="99"/>
    <w:unhideWhenUsed/>
    <w:rsid w:val="002F4048"/>
    <w:pPr>
      <w:tabs>
        <w:tab w:val="center" w:pos="4252"/>
        <w:tab w:val="right" w:pos="8504"/>
      </w:tabs>
      <w:snapToGrid w:val="0"/>
    </w:pPr>
  </w:style>
  <w:style w:type="character" w:customStyle="1" w:styleId="a6">
    <w:name w:val="ヘッダー (文字)"/>
    <w:basedOn w:val="a0"/>
    <w:link w:val="a5"/>
    <w:uiPriority w:val="99"/>
    <w:rsid w:val="002F4048"/>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2F4048"/>
    <w:pPr>
      <w:tabs>
        <w:tab w:val="center" w:pos="4252"/>
        <w:tab w:val="right" w:pos="8504"/>
      </w:tabs>
      <w:snapToGrid w:val="0"/>
    </w:pPr>
  </w:style>
  <w:style w:type="character" w:customStyle="1" w:styleId="a8">
    <w:name w:val="フッター (文字)"/>
    <w:basedOn w:val="a0"/>
    <w:link w:val="a7"/>
    <w:uiPriority w:val="99"/>
    <w:rsid w:val="002F4048"/>
    <w:rPr>
      <w:rFonts w:ascii="HG丸ｺﾞｼｯｸM-PRO" w:eastAsia="HG丸ｺﾞｼｯｸM-PRO" w:hAnsi="HG丸ｺﾞｼｯｸM-PRO" w:cs="HG丸ｺﾞｼｯｸM-PRO"/>
      <w:lang w:eastAsia="ja-JP"/>
    </w:rPr>
  </w:style>
  <w:style w:type="character" w:customStyle="1" w:styleId="20">
    <w:name w:val="見出し 2 (文字)"/>
    <w:basedOn w:val="a0"/>
    <w:link w:val="2"/>
    <w:uiPriority w:val="9"/>
    <w:semiHidden/>
    <w:rsid w:val="002F4048"/>
    <w:rPr>
      <w:rFonts w:asciiTheme="majorHAnsi" w:eastAsiaTheme="majorEastAsia" w:hAnsiTheme="majorHAnsi" w:cstheme="maj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3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3</cp:revision>
  <dcterms:created xsi:type="dcterms:W3CDTF">2024-06-13T06:47:00Z</dcterms:created>
  <dcterms:modified xsi:type="dcterms:W3CDTF">2024-06-13T08:40:00Z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